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BE2C0" w14:textId="4075AE64" w:rsidR="002031C6" w:rsidRPr="001D1EBD" w:rsidRDefault="002031C6" w:rsidP="002031C6">
      <w:pPr>
        <w:jc w:val="center"/>
        <w:rPr>
          <w:rFonts w:ascii="Times New Roman" w:hAnsi="Times New Roman" w:cs="Times New Roman"/>
          <w:b/>
          <w:sz w:val="28"/>
          <w:szCs w:val="28"/>
        </w:rPr>
      </w:pPr>
      <w:bookmarkStart w:id="0" w:name="_GoBack"/>
      <w:bookmarkEnd w:id="0"/>
      <w:r w:rsidRPr="001D1EBD">
        <w:rPr>
          <w:rFonts w:ascii="Times New Roman" w:hAnsi="Times New Roman" w:cs="Times New Roman"/>
          <w:b/>
          <w:sz w:val="28"/>
          <w:szCs w:val="28"/>
        </w:rPr>
        <w:t xml:space="preserve">Instructions for Exercise </w:t>
      </w:r>
      <w:r w:rsidR="00D00B8A" w:rsidRPr="001D1EBD">
        <w:rPr>
          <w:rFonts w:ascii="Times New Roman" w:hAnsi="Times New Roman" w:cs="Times New Roman"/>
          <w:b/>
          <w:sz w:val="28"/>
          <w:szCs w:val="28"/>
        </w:rPr>
        <w:t>8</w:t>
      </w:r>
      <w:r w:rsidRPr="001D1EBD">
        <w:rPr>
          <w:rFonts w:ascii="Times New Roman" w:hAnsi="Times New Roman" w:cs="Times New Roman"/>
          <w:b/>
          <w:sz w:val="28"/>
          <w:szCs w:val="28"/>
        </w:rPr>
        <w:t xml:space="preserve">: </w:t>
      </w:r>
      <w:r w:rsidR="00D00B8A" w:rsidRPr="001D1EBD">
        <w:rPr>
          <w:rFonts w:ascii="Times New Roman" w:hAnsi="Times New Roman" w:cs="Times New Roman"/>
          <w:b/>
          <w:sz w:val="28"/>
          <w:szCs w:val="28"/>
        </w:rPr>
        <w:t>Costs and Health Effects</w:t>
      </w:r>
    </w:p>
    <w:p w14:paraId="4376EA98" w14:textId="77777777" w:rsidR="002031C6" w:rsidRDefault="002031C6" w:rsidP="002031C6">
      <w:pPr>
        <w:spacing w:line="360" w:lineRule="auto"/>
        <w:rPr>
          <w:rFonts w:ascii="Times New Roman" w:hAnsi="Times New Roman"/>
          <w:b/>
        </w:rPr>
      </w:pPr>
    </w:p>
    <w:p w14:paraId="44129306" w14:textId="0C94D0E8" w:rsidR="002031C6" w:rsidRPr="002031C6" w:rsidRDefault="002031C6" w:rsidP="002031C6">
      <w:pPr>
        <w:spacing w:line="360" w:lineRule="auto"/>
        <w:rPr>
          <w:rFonts w:ascii="Times New Roman" w:hAnsi="Times New Roman"/>
          <w:b/>
          <w:sz w:val="24"/>
          <w:szCs w:val="24"/>
        </w:rPr>
      </w:pPr>
      <w:r w:rsidRPr="002031C6">
        <w:rPr>
          <w:rFonts w:ascii="Times New Roman" w:hAnsi="Times New Roman"/>
          <w:b/>
          <w:sz w:val="24"/>
          <w:szCs w:val="24"/>
        </w:rPr>
        <w:t>R</w:t>
      </w:r>
      <w:r w:rsidR="001D1EBD">
        <w:rPr>
          <w:rFonts w:ascii="Times New Roman" w:hAnsi="Times New Roman"/>
          <w:b/>
          <w:sz w:val="24"/>
          <w:szCs w:val="24"/>
        </w:rPr>
        <w:t>e</w:t>
      </w:r>
      <w:r w:rsidRPr="002031C6">
        <w:rPr>
          <w:rFonts w:ascii="Times New Roman" w:hAnsi="Times New Roman"/>
          <w:b/>
          <w:sz w:val="24"/>
          <w:szCs w:val="24"/>
        </w:rPr>
        <w:t xml:space="preserve">vised </w:t>
      </w:r>
      <w:r w:rsidR="001D1EBD">
        <w:rPr>
          <w:rFonts w:ascii="Times New Roman" w:hAnsi="Times New Roman"/>
          <w:b/>
          <w:sz w:val="24"/>
          <w:szCs w:val="24"/>
        </w:rPr>
        <w:t xml:space="preserve">September </w:t>
      </w:r>
      <w:r w:rsidRPr="002031C6">
        <w:rPr>
          <w:rFonts w:ascii="Times New Roman" w:hAnsi="Times New Roman"/>
          <w:b/>
          <w:sz w:val="24"/>
          <w:szCs w:val="24"/>
        </w:rPr>
        <w:t>20</w:t>
      </w:r>
      <w:r w:rsidR="001D1EBD">
        <w:rPr>
          <w:rFonts w:ascii="Times New Roman" w:hAnsi="Times New Roman"/>
          <w:b/>
          <w:sz w:val="24"/>
          <w:szCs w:val="24"/>
        </w:rPr>
        <w:t>20</w:t>
      </w:r>
    </w:p>
    <w:p w14:paraId="0348579E" w14:textId="77777777" w:rsidR="00351722" w:rsidRDefault="00351722" w:rsidP="002031C6">
      <w:pPr>
        <w:spacing w:line="360" w:lineRule="auto"/>
        <w:rPr>
          <w:rFonts w:ascii="Times New Roman" w:hAnsi="Times New Roman"/>
          <w:b/>
          <w:sz w:val="24"/>
          <w:szCs w:val="24"/>
        </w:rPr>
      </w:pPr>
    </w:p>
    <w:p w14:paraId="179F23CD" w14:textId="2F063FFB" w:rsidR="002031C6" w:rsidRPr="002031C6" w:rsidRDefault="001D1EBD" w:rsidP="002031C6">
      <w:pPr>
        <w:spacing w:line="360" w:lineRule="auto"/>
        <w:rPr>
          <w:rFonts w:ascii="Times New Roman" w:eastAsia="Times New Roman" w:hAnsi="Times New Roman"/>
          <w:bCs/>
          <w:iCs/>
          <w:color w:val="000000"/>
          <w:sz w:val="24"/>
          <w:szCs w:val="24"/>
          <w:lang w:eastAsia="en-GB"/>
        </w:rPr>
      </w:pPr>
      <w:bookmarkStart w:id="1" w:name="_Hlk50995117"/>
      <w:r>
        <w:rPr>
          <w:rFonts w:ascii="Times New Roman" w:hAnsi="Times New Roman"/>
          <w:b/>
          <w:sz w:val="24"/>
          <w:szCs w:val="24"/>
        </w:rPr>
        <w:t>Preliminary Notes</w:t>
      </w:r>
    </w:p>
    <w:p w14:paraId="02BC9243" w14:textId="6E090A3A" w:rsidR="001D1EBD" w:rsidRPr="001D1EBD" w:rsidRDefault="001D1EBD" w:rsidP="00040EC0">
      <w:pPr>
        <w:pStyle w:val="ListParagraph"/>
        <w:numPr>
          <w:ilvl w:val="0"/>
          <w:numId w:val="6"/>
        </w:numPr>
        <w:spacing w:after="0" w:line="360" w:lineRule="auto"/>
        <w:rPr>
          <w:rFonts w:ascii="Times New Roman" w:eastAsia="Times New Roman" w:hAnsi="Times New Roman" w:cs="Arial"/>
          <w:bCs/>
          <w:iCs/>
          <w:color w:val="000000"/>
          <w:sz w:val="24"/>
          <w:szCs w:val="24"/>
          <w:lang w:eastAsia="en-GB"/>
        </w:rPr>
      </w:pPr>
      <w:r w:rsidRPr="001D1EBD">
        <w:rPr>
          <w:rFonts w:ascii="Times New Roman" w:eastAsia="Times New Roman" w:hAnsi="Times New Roman" w:cs="Arial"/>
          <w:bCs/>
          <w:iCs/>
          <w:color w:val="000000"/>
          <w:sz w:val="24"/>
          <w:szCs w:val="24"/>
          <w:lang w:eastAsia="en-GB"/>
        </w:rPr>
        <w:t xml:space="preserve">The training exercise materials are available here: </w:t>
      </w:r>
      <w:hyperlink r:id="rId7" w:history="1">
        <w:r w:rsidRPr="001D1EBD">
          <w:rPr>
            <w:rStyle w:val="Hyperlink"/>
            <w:rFonts w:ascii="Times New Roman" w:eastAsia="Times New Roman" w:hAnsi="Times New Roman" w:cs="Arial"/>
            <w:bCs/>
            <w:iCs/>
            <w:sz w:val="24"/>
            <w:szCs w:val="24"/>
            <w:lang w:eastAsia="en-GB"/>
          </w:rPr>
          <w:t>https://www.york.ac.uk/che/research/equity/handbook/</w:t>
        </w:r>
      </w:hyperlink>
    </w:p>
    <w:p w14:paraId="4F2D220C" w14:textId="40810628" w:rsidR="002031C6" w:rsidRPr="00040EC0" w:rsidRDefault="002031C6" w:rsidP="00040EC0">
      <w:pPr>
        <w:pStyle w:val="ListParagraph"/>
        <w:numPr>
          <w:ilvl w:val="0"/>
          <w:numId w:val="6"/>
        </w:numPr>
        <w:spacing w:after="0" w:line="360" w:lineRule="auto"/>
        <w:rPr>
          <w:rFonts w:ascii="Times New Roman" w:eastAsia="Times New Roman" w:hAnsi="Times New Roman" w:cs="Arial"/>
          <w:bCs/>
          <w:iCs/>
          <w:color w:val="000000"/>
          <w:sz w:val="24"/>
          <w:szCs w:val="24"/>
          <w:lang w:eastAsia="en-GB"/>
        </w:rPr>
      </w:pPr>
      <w:r w:rsidRPr="002031C6">
        <w:rPr>
          <w:rFonts w:ascii="Times New Roman" w:eastAsia="Times New Roman" w:hAnsi="Times New Roman" w:cs="Arial"/>
          <w:bCs/>
          <w:iCs/>
          <w:color w:val="000000"/>
          <w:sz w:val="24"/>
          <w:szCs w:val="24"/>
          <w:lang w:eastAsia="en-GB"/>
        </w:rPr>
        <w:t xml:space="preserve">There are </w:t>
      </w:r>
      <w:r w:rsidR="00040EC0">
        <w:rPr>
          <w:rFonts w:ascii="Times New Roman" w:eastAsia="Times New Roman" w:hAnsi="Times New Roman" w:cs="Arial"/>
          <w:bCs/>
          <w:iCs/>
          <w:color w:val="000000"/>
          <w:sz w:val="24"/>
          <w:szCs w:val="24"/>
          <w:lang w:eastAsia="en-GB"/>
        </w:rPr>
        <w:t>three</w:t>
      </w:r>
      <w:r w:rsidRPr="002031C6">
        <w:rPr>
          <w:rFonts w:ascii="Times New Roman" w:eastAsia="Times New Roman" w:hAnsi="Times New Roman" w:cs="Arial"/>
          <w:bCs/>
          <w:iCs/>
          <w:color w:val="000000"/>
          <w:sz w:val="24"/>
          <w:szCs w:val="24"/>
          <w:lang w:eastAsia="en-GB"/>
        </w:rPr>
        <w:t xml:space="preserve"> </w:t>
      </w:r>
      <w:r w:rsidR="001D1EBD">
        <w:rPr>
          <w:rFonts w:ascii="Times New Roman" w:eastAsia="Times New Roman" w:hAnsi="Times New Roman" w:cs="Arial"/>
          <w:bCs/>
          <w:iCs/>
          <w:color w:val="000000"/>
          <w:sz w:val="24"/>
          <w:szCs w:val="24"/>
          <w:lang w:eastAsia="en-GB"/>
        </w:rPr>
        <w:t xml:space="preserve">relevant </w:t>
      </w:r>
      <w:r w:rsidRPr="002031C6">
        <w:rPr>
          <w:rFonts w:ascii="Times New Roman" w:eastAsia="Times New Roman" w:hAnsi="Times New Roman" w:cs="Arial"/>
          <w:bCs/>
          <w:iCs/>
          <w:color w:val="000000"/>
          <w:sz w:val="24"/>
          <w:szCs w:val="24"/>
          <w:lang w:eastAsia="en-GB"/>
        </w:rPr>
        <w:t xml:space="preserve">spreadsheets: “Ex </w:t>
      </w:r>
      <w:r w:rsidR="00D00B8A">
        <w:rPr>
          <w:rFonts w:ascii="Times New Roman" w:eastAsia="Times New Roman" w:hAnsi="Times New Roman" w:cs="Arial"/>
          <w:bCs/>
          <w:iCs/>
          <w:color w:val="000000"/>
          <w:sz w:val="24"/>
          <w:szCs w:val="24"/>
          <w:lang w:eastAsia="en-GB"/>
        </w:rPr>
        <w:t>8</w:t>
      </w:r>
      <w:r w:rsidRPr="002031C6">
        <w:rPr>
          <w:rFonts w:ascii="Times New Roman" w:eastAsia="Times New Roman" w:hAnsi="Times New Roman" w:cs="Arial"/>
          <w:bCs/>
          <w:iCs/>
          <w:color w:val="000000"/>
          <w:sz w:val="24"/>
          <w:szCs w:val="24"/>
          <w:lang w:eastAsia="en-GB"/>
        </w:rPr>
        <w:t xml:space="preserve"> – </w:t>
      </w:r>
      <w:r w:rsidR="00040EC0">
        <w:rPr>
          <w:rFonts w:ascii="Times New Roman" w:eastAsia="Times New Roman" w:hAnsi="Times New Roman" w:cs="Arial"/>
          <w:bCs/>
          <w:iCs/>
          <w:color w:val="000000"/>
          <w:sz w:val="24"/>
          <w:szCs w:val="24"/>
          <w:lang w:eastAsia="en-GB"/>
        </w:rPr>
        <w:t>student</w:t>
      </w:r>
      <w:r w:rsidRPr="002031C6">
        <w:rPr>
          <w:rFonts w:ascii="Times New Roman" w:eastAsia="Times New Roman" w:hAnsi="Times New Roman" w:cs="Arial"/>
          <w:bCs/>
          <w:iCs/>
          <w:color w:val="000000"/>
          <w:sz w:val="24"/>
          <w:szCs w:val="24"/>
          <w:lang w:eastAsia="en-GB"/>
        </w:rPr>
        <w:t>”</w:t>
      </w:r>
      <w:r w:rsidR="00040EC0">
        <w:rPr>
          <w:rFonts w:ascii="Times New Roman" w:eastAsia="Times New Roman" w:hAnsi="Times New Roman" w:cs="Arial"/>
          <w:bCs/>
          <w:iCs/>
          <w:color w:val="000000"/>
          <w:sz w:val="24"/>
          <w:szCs w:val="24"/>
          <w:lang w:eastAsia="en-GB"/>
        </w:rPr>
        <w:t xml:space="preserve">, “Ex 8 – </w:t>
      </w:r>
      <w:r w:rsidR="00A27331">
        <w:rPr>
          <w:rFonts w:ascii="Times New Roman" w:eastAsia="Times New Roman" w:hAnsi="Times New Roman" w:cs="Arial"/>
          <w:bCs/>
          <w:iCs/>
          <w:color w:val="000000"/>
          <w:sz w:val="24"/>
          <w:szCs w:val="24"/>
          <w:lang w:eastAsia="en-GB"/>
        </w:rPr>
        <w:t>student short</w:t>
      </w:r>
      <w:r w:rsidR="00040EC0">
        <w:rPr>
          <w:rFonts w:ascii="Times New Roman" w:eastAsia="Times New Roman" w:hAnsi="Times New Roman" w:cs="Arial"/>
          <w:bCs/>
          <w:iCs/>
          <w:color w:val="000000"/>
          <w:sz w:val="24"/>
          <w:szCs w:val="24"/>
          <w:lang w:eastAsia="en-GB"/>
        </w:rPr>
        <w:t>”</w:t>
      </w:r>
      <w:r w:rsidRPr="00040EC0">
        <w:rPr>
          <w:rFonts w:ascii="Times New Roman" w:eastAsia="Times New Roman" w:hAnsi="Times New Roman"/>
          <w:bCs/>
          <w:iCs/>
          <w:color w:val="000000"/>
          <w:sz w:val="24"/>
          <w:szCs w:val="24"/>
          <w:lang w:eastAsia="en-GB"/>
        </w:rPr>
        <w:t xml:space="preserve"> and “Ex </w:t>
      </w:r>
      <w:r w:rsidR="00D00B8A" w:rsidRPr="00040EC0">
        <w:rPr>
          <w:rFonts w:ascii="Times New Roman" w:eastAsia="Times New Roman" w:hAnsi="Times New Roman"/>
          <w:bCs/>
          <w:iCs/>
          <w:color w:val="000000"/>
          <w:sz w:val="24"/>
          <w:szCs w:val="24"/>
          <w:lang w:eastAsia="en-GB"/>
        </w:rPr>
        <w:t>8</w:t>
      </w:r>
      <w:r w:rsidRPr="00040EC0">
        <w:rPr>
          <w:rFonts w:ascii="Times New Roman" w:eastAsia="Times New Roman" w:hAnsi="Times New Roman"/>
          <w:bCs/>
          <w:iCs/>
          <w:color w:val="000000"/>
          <w:sz w:val="24"/>
          <w:szCs w:val="24"/>
          <w:lang w:eastAsia="en-GB"/>
        </w:rPr>
        <w:t xml:space="preserve"> – solution”.  </w:t>
      </w:r>
      <w:r w:rsidR="00040EC0">
        <w:rPr>
          <w:rFonts w:ascii="Times New Roman" w:eastAsia="Times New Roman" w:hAnsi="Times New Roman"/>
          <w:bCs/>
          <w:iCs/>
          <w:color w:val="000000"/>
          <w:sz w:val="24"/>
          <w:szCs w:val="24"/>
          <w:lang w:eastAsia="en-GB"/>
        </w:rPr>
        <w:t xml:space="preserve">The full exercise </w:t>
      </w:r>
      <w:r w:rsidR="00AA77D9">
        <w:rPr>
          <w:rFonts w:ascii="Times New Roman" w:eastAsia="Times New Roman" w:hAnsi="Times New Roman"/>
          <w:bCs/>
          <w:iCs/>
          <w:color w:val="000000"/>
          <w:sz w:val="24"/>
          <w:szCs w:val="24"/>
          <w:lang w:eastAsia="en-GB"/>
        </w:rPr>
        <w:t xml:space="preserve">in the student file </w:t>
      </w:r>
      <w:r w:rsidR="00040EC0">
        <w:rPr>
          <w:rFonts w:ascii="Times New Roman" w:eastAsia="Times New Roman" w:hAnsi="Times New Roman"/>
          <w:bCs/>
          <w:iCs/>
          <w:color w:val="000000"/>
          <w:sz w:val="24"/>
          <w:szCs w:val="24"/>
          <w:lang w:eastAsia="en-GB"/>
        </w:rPr>
        <w:t xml:space="preserve">takes about an hour; the short version only takes about half an hour.  </w:t>
      </w:r>
      <w:r w:rsidRPr="00040EC0">
        <w:rPr>
          <w:rFonts w:ascii="Times New Roman" w:eastAsia="Times New Roman" w:hAnsi="Times New Roman"/>
          <w:bCs/>
          <w:iCs/>
          <w:color w:val="000000"/>
          <w:sz w:val="24"/>
          <w:szCs w:val="24"/>
          <w:lang w:eastAsia="en-GB"/>
        </w:rPr>
        <w:t>Please open the</w:t>
      </w:r>
      <w:r w:rsidR="00040EC0">
        <w:rPr>
          <w:rFonts w:ascii="Times New Roman" w:eastAsia="Times New Roman" w:hAnsi="Times New Roman"/>
          <w:bCs/>
          <w:iCs/>
          <w:color w:val="000000"/>
          <w:sz w:val="24"/>
          <w:szCs w:val="24"/>
          <w:lang w:eastAsia="en-GB"/>
        </w:rPr>
        <w:t xml:space="preserve"> </w:t>
      </w:r>
      <w:r w:rsidR="00AA77D9">
        <w:rPr>
          <w:rFonts w:ascii="Times New Roman" w:eastAsia="Times New Roman" w:hAnsi="Times New Roman"/>
          <w:bCs/>
          <w:iCs/>
          <w:color w:val="000000"/>
          <w:sz w:val="24"/>
          <w:szCs w:val="24"/>
          <w:lang w:eastAsia="en-GB"/>
        </w:rPr>
        <w:t xml:space="preserve">relevant version </w:t>
      </w:r>
      <w:r w:rsidRPr="00040EC0">
        <w:rPr>
          <w:rFonts w:ascii="Times New Roman" w:eastAsia="Times New Roman" w:hAnsi="Times New Roman"/>
          <w:bCs/>
          <w:iCs/>
          <w:color w:val="000000"/>
          <w:sz w:val="24"/>
          <w:szCs w:val="24"/>
          <w:lang w:eastAsia="en-GB"/>
        </w:rPr>
        <w:t>and go through the worksheets filling in the relevant cells yourself.  You can look at the solution file if you get stuck.</w:t>
      </w:r>
    </w:p>
    <w:p w14:paraId="4A55EEE6" w14:textId="6AC2DA2F" w:rsidR="00455B2D" w:rsidRDefault="002031C6" w:rsidP="00455B2D">
      <w:pPr>
        <w:pStyle w:val="ListParagraph"/>
        <w:numPr>
          <w:ilvl w:val="0"/>
          <w:numId w:val="6"/>
        </w:numPr>
        <w:spacing w:after="0" w:line="360" w:lineRule="auto"/>
        <w:rPr>
          <w:rFonts w:ascii="Times New Roman" w:eastAsia="Times New Roman" w:hAnsi="Times New Roman" w:cs="Arial"/>
          <w:bCs/>
          <w:iCs/>
          <w:color w:val="000000"/>
          <w:sz w:val="24"/>
          <w:szCs w:val="24"/>
          <w:lang w:eastAsia="en-GB"/>
        </w:rPr>
      </w:pPr>
      <w:r w:rsidRPr="002031C6">
        <w:rPr>
          <w:rFonts w:ascii="Times New Roman" w:eastAsia="Times New Roman" w:hAnsi="Times New Roman" w:cs="Arial"/>
          <w:bCs/>
          <w:iCs/>
          <w:color w:val="000000"/>
          <w:sz w:val="24"/>
          <w:szCs w:val="24"/>
          <w:lang w:eastAsia="en-GB"/>
        </w:rPr>
        <w:t>When the spreadsheet is first opened a ‘Security Warning’ may be displayed below the menu bar.  Select ‘Enable this content’.</w:t>
      </w:r>
    </w:p>
    <w:p w14:paraId="50393E66" w14:textId="71FAA7AB" w:rsidR="00455B2D" w:rsidRPr="00455B2D" w:rsidRDefault="00455B2D" w:rsidP="00455B2D">
      <w:pPr>
        <w:pStyle w:val="ListParagraph"/>
        <w:numPr>
          <w:ilvl w:val="0"/>
          <w:numId w:val="6"/>
        </w:numPr>
        <w:spacing w:after="0" w:line="360" w:lineRule="auto"/>
        <w:rPr>
          <w:rFonts w:ascii="Times New Roman" w:eastAsia="Times New Roman" w:hAnsi="Times New Roman" w:cs="Arial"/>
          <w:bCs/>
          <w:iCs/>
          <w:color w:val="000000"/>
          <w:sz w:val="24"/>
          <w:szCs w:val="24"/>
          <w:lang w:eastAsia="en-GB"/>
        </w:rPr>
      </w:pPr>
      <w:r>
        <w:rPr>
          <w:rFonts w:ascii="Times New Roman" w:eastAsia="Times New Roman" w:hAnsi="Times New Roman" w:cs="Arial"/>
          <w:bCs/>
          <w:iCs/>
          <w:color w:val="000000"/>
          <w:sz w:val="24"/>
          <w:szCs w:val="24"/>
          <w:lang w:eastAsia="en-GB"/>
        </w:rPr>
        <w:t xml:space="preserve">This exercise was produced </w:t>
      </w:r>
      <w:r w:rsidR="001D1EBD">
        <w:rPr>
          <w:rFonts w:ascii="Times New Roman" w:eastAsia="Times New Roman" w:hAnsi="Times New Roman" w:cs="Arial"/>
          <w:bCs/>
          <w:iCs/>
          <w:color w:val="000000"/>
          <w:sz w:val="24"/>
          <w:szCs w:val="24"/>
          <w:lang w:eastAsia="en-GB"/>
        </w:rPr>
        <w:t xml:space="preserve">for the Handbook of Distributional Cost-Effectiveness Analysis </w:t>
      </w:r>
      <w:r>
        <w:rPr>
          <w:rFonts w:ascii="Times New Roman" w:eastAsia="Times New Roman" w:hAnsi="Times New Roman" w:cs="Arial"/>
          <w:bCs/>
          <w:iCs/>
          <w:color w:val="000000"/>
          <w:sz w:val="24"/>
          <w:szCs w:val="24"/>
          <w:lang w:eastAsia="en-GB"/>
        </w:rPr>
        <w:t>by Colin Angus and edited by Richard Cookson, with help from James Love-Koh and James Lomas.</w:t>
      </w:r>
    </w:p>
    <w:bookmarkEnd w:id="1"/>
    <w:p w14:paraId="7A126DFA" w14:textId="77777777" w:rsidR="002031C6" w:rsidRPr="00B24662" w:rsidRDefault="002031C6" w:rsidP="002031C6">
      <w:pPr>
        <w:pStyle w:val="ListParagraph"/>
        <w:spacing w:after="0" w:line="360" w:lineRule="auto"/>
        <w:rPr>
          <w:rFonts w:ascii="Times New Roman" w:eastAsia="Times New Roman" w:hAnsi="Times New Roman" w:cs="Arial"/>
          <w:bCs/>
          <w:iCs/>
          <w:color w:val="000000"/>
          <w:lang w:eastAsia="en-GB"/>
        </w:rPr>
      </w:pPr>
    </w:p>
    <w:p w14:paraId="28757856" w14:textId="5B45DF5C" w:rsidR="00D00B8A" w:rsidRPr="00D00B8A" w:rsidRDefault="00F34414" w:rsidP="00F34414">
      <w:pPr>
        <w:pStyle w:val="Heading2"/>
        <w:spacing w:before="160" w:line="480" w:lineRule="auto"/>
        <w:contextualSpacing w:val="0"/>
        <w:rPr>
          <w:rFonts w:ascii="Times New Roman" w:hAnsi="Times New Roman" w:cs="Times New Roman"/>
          <w:b/>
          <w:sz w:val="24"/>
          <w:szCs w:val="24"/>
        </w:rPr>
      </w:pPr>
      <w:bookmarkStart w:id="2" w:name="_Toc524098630"/>
      <w:r>
        <w:rPr>
          <w:rFonts w:ascii="Times New Roman" w:hAnsi="Times New Roman" w:cs="Times New Roman"/>
          <w:b/>
          <w:sz w:val="24"/>
          <w:szCs w:val="24"/>
        </w:rPr>
        <w:t xml:space="preserve">Introduction </w:t>
      </w:r>
      <w:bookmarkEnd w:id="2"/>
      <w:r>
        <w:rPr>
          <w:rFonts w:ascii="Times New Roman" w:hAnsi="Times New Roman" w:cs="Times New Roman"/>
          <w:b/>
          <w:sz w:val="24"/>
          <w:szCs w:val="24"/>
        </w:rPr>
        <w:t>to the exercise</w:t>
      </w:r>
    </w:p>
    <w:p w14:paraId="468BD288" w14:textId="32C3FCEF" w:rsidR="0067296D" w:rsidRDefault="00D00B8A" w:rsidP="00D00B8A">
      <w:pPr>
        <w:spacing w:line="480" w:lineRule="auto"/>
        <w:rPr>
          <w:rFonts w:ascii="Times New Roman" w:hAnsi="Times New Roman" w:cs="Times New Roman"/>
          <w:sz w:val="24"/>
          <w:szCs w:val="24"/>
        </w:rPr>
      </w:pPr>
      <w:r w:rsidRPr="005D3BD6">
        <w:rPr>
          <w:rFonts w:ascii="Times New Roman" w:hAnsi="Times New Roman" w:cs="Times New Roman"/>
          <w:sz w:val="24"/>
          <w:szCs w:val="24"/>
        </w:rPr>
        <w:t xml:space="preserve">The aim of this exercise is to model the distribution of lifetime health </w:t>
      </w:r>
      <w:r w:rsidR="0067296D">
        <w:rPr>
          <w:rFonts w:ascii="Times New Roman" w:hAnsi="Times New Roman" w:cs="Times New Roman"/>
          <w:sz w:val="24"/>
          <w:szCs w:val="24"/>
        </w:rPr>
        <w:t>effects a</w:t>
      </w:r>
      <w:r w:rsidRPr="005D3BD6">
        <w:rPr>
          <w:rFonts w:ascii="Times New Roman" w:hAnsi="Times New Roman" w:cs="Times New Roman"/>
          <w:sz w:val="24"/>
          <w:szCs w:val="24"/>
        </w:rPr>
        <w:t xml:space="preserve">nd healthcare costs for </w:t>
      </w:r>
      <w:r w:rsidR="0067296D">
        <w:rPr>
          <w:rFonts w:ascii="Times New Roman" w:hAnsi="Times New Roman" w:cs="Times New Roman"/>
          <w:sz w:val="24"/>
          <w:szCs w:val="24"/>
        </w:rPr>
        <w:t xml:space="preserve">the following </w:t>
      </w:r>
      <w:r w:rsidRPr="005D3BD6">
        <w:rPr>
          <w:rFonts w:ascii="Times New Roman" w:hAnsi="Times New Roman" w:cs="Times New Roman"/>
          <w:sz w:val="24"/>
          <w:szCs w:val="24"/>
        </w:rPr>
        <w:t xml:space="preserve">three </w:t>
      </w:r>
      <w:r w:rsidR="0067296D">
        <w:rPr>
          <w:rFonts w:ascii="Times New Roman" w:hAnsi="Times New Roman" w:cs="Times New Roman"/>
          <w:sz w:val="24"/>
          <w:szCs w:val="24"/>
        </w:rPr>
        <w:t>options for funding Nicotine Replacement Therapy in England:</w:t>
      </w:r>
    </w:p>
    <w:p w14:paraId="68479493" w14:textId="77777777" w:rsidR="0067296D" w:rsidRPr="005D3BD6" w:rsidRDefault="0067296D" w:rsidP="0067296D">
      <w:pPr>
        <w:pStyle w:val="ListParagraph"/>
        <w:numPr>
          <w:ilvl w:val="0"/>
          <w:numId w:val="7"/>
        </w:numPr>
        <w:spacing w:after="160" w:line="480" w:lineRule="auto"/>
        <w:contextualSpacing w:val="0"/>
        <w:rPr>
          <w:rFonts w:ascii="Times New Roman" w:hAnsi="Times New Roman" w:cs="Times New Roman"/>
          <w:sz w:val="24"/>
          <w:szCs w:val="24"/>
        </w:rPr>
      </w:pPr>
      <w:r w:rsidRPr="005D3BD6">
        <w:rPr>
          <w:rFonts w:ascii="Times New Roman" w:hAnsi="Times New Roman" w:cs="Times New Roman"/>
          <w:sz w:val="24"/>
          <w:szCs w:val="24"/>
        </w:rPr>
        <w:t>No Public NRT: do not provide any public subsidy for nicotine replacement therapy</w:t>
      </w:r>
    </w:p>
    <w:p w14:paraId="1D1BCB75" w14:textId="77777777" w:rsidR="0067296D" w:rsidRPr="005D3BD6" w:rsidRDefault="0067296D" w:rsidP="0067296D">
      <w:pPr>
        <w:pStyle w:val="ListParagraph"/>
        <w:numPr>
          <w:ilvl w:val="0"/>
          <w:numId w:val="7"/>
        </w:numPr>
        <w:spacing w:after="160" w:line="480" w:lineRule="auto"/>
        <w:contextualSpacing w:val="0"/>
        <w:rPr>
          <w:rFonts w:ascii="Times New Roman" w:hAnsi="Times New Roman" w:cs="Times New Roman"/>
          <w:sz w:val="24"/>
          <w:szCs w:val="24"/>
        </w:rPr>
      </w:pPr>
      <w:r w:rsidRPr="005D3BD6">
        <w:rPr>
          <w:rFonts w:ascii="Times New Roman" w:hAnsi="Times New Roman" w:cs="Times New Roman"/>
          <w:sz w:val="24"/>
          <w:szCs w:val="24"/>
        </w:rPr>
        <w:t>Universal NRT: offer free nicotine replacement therapy to all smokers</w:t>
      </w:r>
    </w:p>
    <w:p w14:paraId="4E590B3D" w14:textId="77777777" w:rsidR="0067296D" w:rsidRPr="005D3BD6" w:rsidRDefault="0067296D" w:rsidP="0067296D">
      <w:pPr>
        <w:pStyle w:val="ListParagraph"/>
        <w:numPr>
          <w:ilvl w:val="0"/>
          <w:numId w:val="7"/>
        </w:numPr>
        <w:spacing w:after="160" w:line="480" w:lineRule="auto"/>
        <w:rPr>
          <w:rFonts w:ascii="Times New Roman" w:hAnsi="Times New Roman" w:cs="Times New Roman"/>
          <w:sz w:val="24"/>
          <w:szCs w:val="24"/>
        </w:rPr>
      </w:pPr>
      <w:r w:rsidRPr="005D3BD6">
        <w:rPr>
          <w:rFonts w:ascii="Times New Roman" w:hAnsi="Times New Roman" w:cs="Times New Roman"/>
          <w:sz w:val="24"/>
          <w:szCs w:val="24"/>
        </w:rPr>
        <w:t>Proportional Universal NRT: Universal NRT with additional resources to encourage uptake in disadvantaged communities</w:t>
      </w:r>
    </w:p>
    <w:p w14:paraId="2A8F9327" w14:textId="5EB3C34B" w:rsidR="0067296D" w:rsidRDefault="0067296D" w:rsidP="00D00B8A">
      <w:pPr>
        <w:spacing w:line="480" w:lineRule="auto"/>
        <w:rPr>
          <w:rFonts w:ascii="Times New Roman" w:hAnsi="Times New Roman" w:cs="Times New Roman"/>
          <w:sz w:val="24"/>
          <w:szCs w:val="24"/>
        </w:rPr>
      </w:pPr>
      <w:r w:rsidRPr="0067296D">
        <w:rPr>
          <w:rFonts w:ascii="Times New Roman" w:hAnsi="Times New Roman" w:cs="Times New Roman"/>
          <w:sz w:val="24"/>
          <w:szCs w:val="24"/>
        </w:rPr>
        <w:t xml:space="preserve">Nicotine Replacement Therapy (NRT), consisting of nicotine patches, gum, tablets, lozenges, spray or an inhaler, is an effective and cost-effective aid to smoking cessation. Both smoking prevalence and the use of NRT vary with both geography and socioeconomic status (SES) </w:t>
      </w:r>
      <w:r w:rsidRPr="0067296D">
        <w:rPr>
          <w:rFonts w:ascii="Times New Roman" w:hAnsi="Times New Roman" w:cs="Times New Roman"/>
          <w:sz w:val="24"/>
          <w:szCs w:val="24"/>
        </w:rPr>
        <w:lastRenderedPageBreak/>
        <w:t>and there are also socioeconomic gradients in the long</w:t>
      </w:r>
      <w:r>
        <w:rPr>
          <w:rFonts w:ascii="Times New Roman" w:hAnsi="Times New Roman" w:cs="Times New Roman"/>
          <w:sz w:val="24"/>
          <w:szCs w:val="24"/>
        </w:rPr>
        <w:t>-</w:t>
      </w:r>
      <w:r w:rsidRPr="0067296D">
        <w:rPr>
          <w:rFonts w:ascii="Times New Roman" w:hAnsi="Times New Roman" w:cs="Times New Roman"/>
          <w:sz w:val="24"/>
          <w:szCs w:val="24"/>
        </w:rPr>
        <w:t xml:space="preserve">term effects of giving up smoking. </w:t>
      </w:r>
      <w:r>
        <w:rPr>
          <w:rFonts w:ascii="Times New Roman" w:hAnsi="Times New Roman" w:cs="Times New Roman"/>
          <w:sz w:val="24"/>
          <w:szCs w:val="24"/>
        </w:rPr>
        <w:t xml:space="preserve">Full details and data sources are provided in Chapters 5 and 8 of the </w:t>
      </w:r>
      <w:proofErr w:type="gramStart"/>
      <w:r>
        <w:rPr>
          <w:rFonts w:ascii="Times New Roman" w:hAnsi="Times New Roman" w:cs="Times New Roman"/>
          <w:sz w:val="24"/>
          <w:szCs w:val="24"/>
        </w:rPr>
        <w:t>handbook</w:t>
      </w:r>
      <w:proofErr w:type="gramEnd"/>
      <w:r>
        <w:rPr>
          <w:rFonts w:ascii="Times New Roman" w:hAnsi="Times New Roman" w:cs="Times New Roman"/>
          <w:sz w:val="24"/>
          <w:szCs w:val="24"/>
        </w:rPr>
        <w:t>.</w:t>
      </w:r>
    </w:p>
    <w:p w14:paraId="4BE491A9" w14:textId="77777777" w:rsidR="0067296D" w:rsidRDefault="0067296D" w:rsidP="00D00B8A">
      <w:pPr>
        <w:spacing w:line="480" w:lineRule="auto"/>
        <w:rPr>
          <w:rFonts w:ascii="Times New Roman" w:hAnsi="Times New Roman" w:cs="Times New Roman"/>
          <w:sz w:val="24"/>
          <w:szCs w:val="24"/>
        </w:rPr>
      </w:pPr>
    </w:p>
    <w:p w14:paraId="3D9645A5" w14:textId="610D0779" w:rsidR="00D00B8A" w:rsidRDefault="00D00B8A" w:rsidP="00D00B8A">
      <w:pPr>
        <w:spacing w:line="480" w:lineRule="auto"/>
      </w:pPr>
      <w:r w:rsidRPr="005D3BD6">
        <w:rPr>
          <w:rFonts w:ascii="Times New Roman" w:hAnsi="Times New Roman" w:cs="Times New Roman"/>
          <w:sz w:val="24"/>
          <w:szCs w:val="24"/>
        </w:rPr>
        <w:t>The basic structure of the model is a simple decision tree in which smokers may attempt to quit smoking, for which they may use public, private or no NRT, they may be successful in the short-term, and of those who succeed, they may relapse in the longer-term. The basic structure of the model is illustrated in Figure</w:t>
      </w:r>
      <w:r>
        <w:t xml:space="preserve"> 1. </w:t>
      </w:r>
    </w:p>
    <w:p w14:paraId="48FAB2F1" w14:textId="4E70C14E" w:rsidR="00D00B8A" w:rsidRDefault="00D00B8A" w:rsidP="0067296D">
      <w:pPr>
        <w:spacing w:line="360" w:lineRule="auto"/>
        <w:jc w:val="center"/>
      </w:pPr>
      <w:r>
        <w:rPr>
          <w:noProof/>
          <w:lang w:eastAsia="en-GB"/>
        </w:rPr>
        <w:drawing>
          <wp:inline distT="0" distB="0" distL="0" distR="0" wp14:anchorId="62534F58" wp14:editId="063FA9D4">
            <wp:extent cx="4622503" cy="3501958"/>
            <wp:effectExtent l="0" t="0" r="698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80500" cy="3545896"/>
                    </a:xfrm>
                    <a:prstGeom prst="rect">
                      <a:avLst/>
                    </a:prstGeom>
                  </pic:spPr>
                </pic:pic>
              </a:graphicData>
            </a:graphic>
          </wp:inline>
        </w:drawing>
      </w:r>
    </w:p>
    <w:p w14:paraId="54AFA5E2" w14:textId="169EC86E" w:rsidR="00D00B8A" w:rsidRPr="005D3BD6" w:rsidRDefault="00D00B8A" w:rsidP="0067296D">
      <w:pPr>
        <w:spacing w:line="480" w:lineRule="auto"/>
        <w:jc w:val="center"/>
        <w:rPr>
          <w:rFonts w:ascii="Times New Roman" w:hAnsi="Times New Roman" w:cs="Times New Roman"/>
          <w:b/>
          <w:sz w:val="24"/>
          <w:szCs w:val="24"/>
        </w:rPr>
      </w:pPr>
      <w:r w:rsidRPr="005D3BD6">
        <w:rPr>
          <w:rFonts w:ascii="Times New Roman" w:hAnsi="Times New Roman" w:cs="Times New Roman"/>
          <w:b/>
          <w:sz w:val="24"/>
          <w:szCs w:val="24"/>
        </w:rPr>
        <w:t xml:space="preserve">Figure </w:t>
      </w:r>
      <w:r>
        <w:rPr>
          <w:rFonts w:ascii="Times New Roman" w:hAnsi="Times New Roman" w:cs="Times New Roman"/>
          <w:b/>
          <w:sz w:val="24"/>
          <w:szCs w:val="24"/>
        </w:rPr>
        <w:t>1</w:t>
      </w:r>
      <w:r w:rsidRPr="005D3BD6">
        <w:rPr>
          <w:rFonts w:ascii="Times New Roman" w:hAnsi="Times New Roman" w:cs="Times New Roman"/>
          <w:b/>
          <w:sz w:val="24"/>
          <w:szCs w:val="24"/>
        </w:rPr>
        <w:t xml:space="preserve">: </w:t>
      </w:r>
      <w:r w:rsidR="00EB47F7">
        <w:rPr>
          <w:rFonts w:ascii="Times New Roman" w:hAnsi="Times New Roman" w:cs="Times New Roman"/>
          <w:b/>
          <w:sz w:val="24"/>
          <w:szCs w:val="24"/>
        </w:rPr>
        <w:t>Steps in the calculation of long-term quit rates</w:t>
      </w:r>
    </w:p>
    <w:p w14:paraId="51A829B7" w14:textId="77777777" w:rsidR="00F34414" w:rsidRDefault="00D00B8A" w:rsidP="00D00B8A">
      <w:pPr>
        <w:spacing w:line="360" w:lineRule="auto"/>
        <w:rPr>
          <w:rFonts w:ascii="Times New Roman" w:hAnsi="Times New Roman" w:cs="Times New Roman"/>
          <w:sz w:val="24"/>
          <w:szCs w:val="24"/>
        </w:rPr>
      </w:pPr>
      <w:r w:rsidRPr="005D3BD6">
        <w:rPr>
          <w:rFonts w:ascii="Times New Roman" w:hAnsi="Times New Roman" w:cs="Times New Roman"/>
          <w:sz w:val="24"/>
          <w:szCs w:val="24"/>
        </w:rPr>
        <w:t xml:space="preserve">For each </w:t>
      </w:r>
      <w:r w:rsidR="00F34414">
        <w:rPr>
          <w:rFonts w:ascii="Times New Roman" w:hAnsi="Times New Roman" w:cs="Times New Roman"/>
          <w:sz w:val="24"/>
          <w:szCs w:val="24"/>
        </w:rPr>
        <w:t>option</w:t>
      </w:r>
      <w:r w:rsidR="00B008D8">
        <w:rPr>
          <w:rFonts w:ascii="Times New Roman" w:hAnsi="Times New Roman" w:cs="Times New Roman"/>
          <w:sz w:val="24"/>
          <w:szCs w:val="24"/>
        </w:rPr>
        <w:t>, w</w:t>
      </w:r>
      <w:r w:rsidRPr="005D3BD6">
        <w:rPr>
          <w:rFonts w:ascii="Times New Roman" w:hAnsi="Times New Roman" w:cs="Times New Roman"/>
          <w:sz w:val="24"/>
          <w:szCs w:val="24"/>
        </w:rPr>
        <w:t xml:space="preserve">e model one year of intervention, with a lifetime follow-up. We assume that the total number of smokers attempting to quit in each scenario is constant. We also assume that the number of smokers attempting to quit who pay for NRT over the counter is the same. Each scenario therefore differs only by moving smokers attempting to quit without NRT onto publicly funded NRT or vice versa. </w:t>
      </w:r>
      <w:r w:rsidR="00F34414">
        <w:rPr>
          <w:rFonts w:ascii="Times New Roman" w:hAnsi="Times New Roman" w:cs="Times New Roman"/>
          <w:sz w:val="24"/>
          <w:szCs w:val="24"/>
        </w:rPr>
        <w:t>In option 1</w:t>
      </w:r>
      <w:r w:rsidRPr="005D3BD6">
        <w:rPr>
          <w:rFonts w:ascii="Times New Roman" w:hAnsi="Times New Roman" w:cs="Times New Roman"/>
          <w:sz w:val="24"/>
          <w:szCs w:val="24"/>
        </w:rPr>
        <w:t xml:space="preserve">, we assume no public NRT is provided. In </w:t>
      </w:r>
      <w:r w:rsidR="00F34414">
        <w:rPr>
          <w:rFonts w:ascii="Times New Roman" w:hAnsi="Times New Roman" w:cs="Times New Roman"/>
          <w:sz w:val="24"/>
          <w:szCs w:val="24"/>
        </w:rPr>
        <w:t>option 2</w:t>
      </w:r>
      <w:r w:rsidRPr="005D3BD6">
        <w:rPr>
          <w:rFonts w:ascii="Times New Roman" w:hAnsi="Times New Roman" w:cs="Times New Roman"/>
          <w:sz w:val="24"/>
          <w:szCs w:val="24"/>
        </w:rPr>
        <w:t xml:space="preserve">, we model public NRT provision based on actual data from 2010. </w:t>
      </w:r>
      <w:r w:rsidR="00F34414">
        <w:rPr>
          <w:rFonts w:ascii="Times New Roman" w:hAnsi="Times New Roman" w:cs="Times New Roman"/>
          <w:sz w:val="24"/>
          <w:szCs w:val="24"/>
        </w:rPr>
        <w:t>In options 3</w:t>
      </w:r>
      <w:r w:rsidRPr="005D3BD6">
        <w:rPr>
          <w:rFonts w:ascii="Times New Roman" w:hAnsi="Times New Roman" w:cs="Times New Roman"/>
          <w:sz w:val="24"/>
          <w:szCs w:val="24"/>
        </w:rPr>
        <w:t xml:space="preserve">, we assume that the National Health Service invests an additional £15million </w:t>
      </w:r>
      <w:r>
        <w:rPr>
          <w:rFonts w:ascii="Times New Roman" w:hAnsi="Times New Roman" w:cs="Times New Roman"/>
          <w:sz w:val="24"/>
          <w:szCs w:val="24"/>
        </w:rPr>
        <w:t>o</w:t>
      </w:r>
      <w:r w:rsidRPr="005D3BD6">
        <w:rPr>
          <w:rFonts w:ascii="Times New Roman" w:hAnsi="Times New Roman" w:cs="Times New Roman"/>
          <w:sz w:val="24"/>
          <w:szCs w:val="24"/>
        </w:rPr>
        <w:t xml:space="preserve">n a </w:t>
      </w:r>
      <w:proofErr w:type="spellStart"/>
      <w:r w:rsidRPr="005D3BD6">
        <w:rPr>
          <w:rFonts w:ascii="Times New Roman" w:hAnsi="Times New Roman" w:cs="Times New Roman"/>
          <w:sz w:val="24"/>
          <w:szCs w:val="24"/>
        </w:rPr>
        <w:t>programme</w:t>
      </w:r>
      <w:proofErr w:type="spellEnd"/>
      <w:r w:rsidRPr="005D3BD6">
        <w:rPr>
          <w:rFonts w:ascii="Times New Roman" w:hAnsi="Times New Roman" w:cs="Times New Roman"/>
          <w:sz w:val="24"/>
          <w:szCs w:val="24"/>
        </w:rPr>
        <w:t xml:space="preserve"> to encourage increased NRT usage among more deprived groups, particularly in the north of the country. </w:t>
      </w:r>
    </w:p>
    <w:p w14:paraId="4678DE5F" w14:textId="3B553A4E" w:rsidR="00D00B8A" w:rsidRDefault="00D00B8A" w:rsidP="00D00B8A">
      <w:pPr>
        <w:spacing w:line="360" w:lineRule="auto"/>
        <w:rPr>
          <w:b/>
        </w:rPr>
      </w:pPr>
      <w:r w:rsidRPr="005D3BD6">
        <w:rPr>
          <w:rFonts w:ascii="Times New Roman" w:hAnsi="Times New Roman" w:cs="Times New Roman"/>
          <w:sz w:val="24"/>
          <w:szCs w:val="24"/>
        </w:rPr>
        <w:lastRenderedPageBreak/>
        <w:t xml:space="preserve">The assumed effect of this </w:t>
      </w:r>
      <w:proofErr w:type="spellStart"/>
      <w:r w:rsidRPr="005D3BD6">
        <w:rPr>
          <w:rFonts w:ascii="Times New Roman" w:hAnsi="Times New Roman" w:cs="Times New Roman"/>
          <w:sz w:val="24"/>
          <w:szCs w:val="24"/>
        </w:rPr>
        <w:t>programme</w:t>
      </w:r>
      <w:proofErr w:type="spellEnd"/>
      <w:r w:rsidRPr="005D3BD6">
        <w:rPr>
          <w:rFonts w:ascii="Times New Roman" w:hAnsi="Times New Roman" w:cs="Times New Roman"/>
          <w:sz w:val="24"/>
          <w:szCs w:val="24"/>
        </w:rPr>
        <w:t xml:space="preserve"> on prescription NRT usage is shown in Table 1.</w:t>
      </w:r>
      <w:r w:rsidRPr="00D00B8A">
        <w:rPr>
          <w:b/>
        </w:rPr>
        <w:t xml:space="preserve"> </w:t>
      </w:r>
    </w:p>
    <w:p w14:paraId="6051741D" w14:textId="77777777" w:rsidR="00D00B8A" w:rsidRDefault="00D00B8A" w:rsidP="00D00B8A">
      <w:pPr>
        <w:spacing w:line="360" w:lineRule="auto"/>
        <w:jc w:val="center"/>
        <w:rPr>
          <w:b/>
        </w:rPr>
      </w:pPr>
    </w:p>
    <w:p w14:paraId="452C6D71" w14:textId="77777777" w:rsidR="00D00B8A" w:rsidRDefault="00D00B8A" w:rsidP="00D00B8A">
      <w:pPr>
        <w:spacing w:line="360" w:lineRule="auto"/>
        <w:jc w:val="center"/>
        <w:rPr>
          <w:b/>
        </w:rPr>
      </w:pPr>
      <w:r w:rsidRPr="00270426">
        <w:rPr>
          <w:b/>
        </w:rPr>
        <w:t xml:space="preserve">Table 1: Assumed increased in NRT usage under </w:t>
      </w:r>
    </w:p>
    <w:p w14:paraId="4C08444D" w14:textId="02AD15DD" w:rsidR="00D00B8A" w:rsidRPr="00270426" w:rsidRDefault="00D00B8A" w:rsidP="00D00B8A">
      <w:pPr>
        <w:spacing w:line="360" w:lineRule="auto"/>
        <w:jc w:val="center"/>
        <w:rPr>
          <w:b/>
        </w:rPr>
      </w:pPr>
      <w:r w:rsidRPr="00270426">
        <w:rPr>
          <w:b/>
        </w:rPr>
        <w:t>Scenario 3</w:t>
      </w:r>
      <w:r>
        <w:rPr>
          <w:b/>
        </w:rPr>
        <w:t>: Proportional Universal NRT</w:t>
      </w:r>
    </w:p>
    <w:tbl>
      <w:tblPr>
        <w:tblStyle w:val="TableGrid"/>
        <w:tblW w:w="0" w:type="auto"/>
        <w:jc w:val="center"/>
        <w:tblLook w:val="04A0" w:firstRow="1" w:lastRow="0" w:firstColumn="1" w:lastColumn="0" w:noHBand="0" w:noVBand="1"/>
      </w:tblPr>
      <w:tblGrid>
        <w:gridCol w:w="960"/>
        <w:gridCol w:w="962"/>
        <w:gridCol w:w="2540"/>
      </w:tblGrid>
      <w:tr w:rsidR="00D00B8A" w:rsidRPr="00396258" w14:paraId="169BC318" w14:textId="77777777" w:rsidTr="00D00B8A">
        <w:trPr>
          <w:trHeight w:val="564"/>
          <w:jc w:val="center"/>
        </w:trPr>
        <w:tc>
          <w:tcPr>
            <w:tcW w:w="1922" w:type="dxa"/>
            <w:gridSpan w:val="2"/>
            <w:noWrap/>
            <w:hideMark/>
          </w:tcPr>
          <w:p w14:paraId="0938647C" w14:textId="77777777" w:rsidR="00D00B8A" w:rsidRPr="00396258" w:rsidRDefault="00D00B8A" w:rsidP="00CC7467">
            <w:pPr>
              <w:spacing w:line="360" w:lineRule="auto"/>
            </w:pPr>
          </w:p>
        </w:tc>
        <w:tc>
          <w:tcPr>
            <w:tcW w:w="2540" w:type="dxa"/>
            <w:hideMark/>
          </w:tcPr>
          <w:p w14:paraId="5373A55D" w14:textId="4FFB18AC" w:rsidR="00D00B8A" w:rsidRPr="00396258" w:rsidRDefault="00D00B8A" w:rsidP="00CC7467">
            <w:pPr>
              <w:spacing w:line="360" w:lineRule="auto"/>
            </w:pPr>
            <w:r w:rsidRPr="00396258">
              <w:t>Increase in public NRT usag</w:t>
            </w:r>
            <w:r>
              <w:t>e</w:t>
            </w:r>
          </w:p>
        </w:tc>
      </w:tr>
      <w:tr w:rsidR="00D00B8A" w:rsidRPr="00396258" w14:paraId="4E92DBC3" w14:textId="77777777" w:rsidTr="00D00B8A">
        <w:trPr>
          <w:trHeight w:val="288"/>
          <w:jc w:val="center"/>
        </w:trPr>
        <w:tc>
          <w:tcPr>
            <w:tcW w:w="960" w:type="dxa"/>
            <w:vMerge w:val="restart"/>
            <w:noWrap/>
            <w:hideMark/>
          </w:tcPr>
          <w:p w14:paraId="70982F2E" w14:textId="77777777" w:rsidR="00D00B8A" w:rsidRPr="00396258" w:rsidRDefault="00D00B8A" w:rsidP="00CC7467">
            <w:pPr>
              <w:spacing w:line="360" w:lineRule="auto"/>
            </w:pPr>
            <w:r w:rsidRPr="00396258">
              <w:t>South</w:t>
            </w:r>
          </w:p>
        </w:tc>
        <w:tc>
          <w:tcPr>
            <w:tcW w:w="962" w:type="dxa"/>
            <w:noWrap/>
            <w:hideMark/>
          </w:tcPr>
          <w:p w14:paraId="1956F225" w14:textId="77777777" w:rsidR="00D00B8A" w:rsidRPr="00396258" w:rsidRDefault="00D00B8A" w:rsidP="00CC7467">
            <w:pPr>
              <w:spacing w:line="360" w:lineRule="auto"/>
            </w:pPr>
            <w:r w:rsidRPr="00396258">
              <w:t>Lowest</w:t>
            </w:r>
          </w:p>
        </w:tc>
        <w:tc>
          <w:tcPr>
            <w:tcW w:w="2540" w:type="dxa"/>
            <w:noWrap/>
            <w:hideMark/>
          </w:tcPr>
          <w:p w14:paraId="379447CA" w14:textId="77777777" w:rsidR="00D00B8A" w:rsidRPr="00396258" w:rsidRDefault="00D00B8A" w:rsidP="00CC7467">
            <w:pPr>
              <w:spacing w:line="360" w:lineRule="auto"/>
            </w:pPr>
            <w:r>
              <w:t>40</w:t>
            </w:r>
            <w:r w:rsidRPr="00396258">
              <w:t>%</w:t>
            </w:r>
          </w:p>
        </w:tc>
      </w:tr>
      <w:tr w:rsidR="00D00B8A" w:rsidRPr="00396258" w14:paraId="1EE01805" w14:textId="77777777" w:rsidTr="00D00B8A">
        <w:trPr>
          <w:trHeight w:val="288"/>
          <w:jc w:val="center"/>
        </w:trPr>
        <w:tc>
          <w:tcPr>
            <w:tcW w:w="960" w:type="dxa"/>
            <w:vMerge/>
            <w:hideMark/>
          </w:tcPr>
          <w:p w14:paraId="73059756" w14:textId="77777777" w:rsidR="00D00B8A" w:rsidRPr="00396258" w:rsidRDefault="00D00B8A" w:rsidP="00CC7467">
            <w:pPr>
              <w:spacing w:line="360" w:lineRule="auto"/>
            </w:pPr>
          </w:p>
        </w:tc>
        <w:tc>
          <w:tcPr>
            <w:tcW w:w="962" w:type="dxa"/>
            <w:noWrap/>
            <w:hideMark/>
          </w:tcPr>
          <w:p w14:paraId="388BB3BB" w14:textId="77777777" w:rsidR="00D00B8A" w:rsidRPr="00396258" w:rsidRDefault="00D00B8A" w:rsidP="00CC7467">
            <w:pPr>
              <w:spacing w:line="360" w:lineRule="auto"/>
            </w:pPr>
            <w:r w:rsidRPr="00396258">
              <w:t>SES2</w:t>
            </w:r>
          </w:p>
        </w:tc>
        <w:tc>
          <w:tcPr>
            <w:tcW w:w="2540" w:type="dxa"/>
            <w:noWrap/>
            <w:hideMark/>
          </w:tcPr>
          <w:p w14:paraId="627ADF94" w14:textId="77777777" w:rsidR="00D00B8A" w:rsidRPr="00396258" w:rsidRDefault="00D00B8A" w:rsidP="00CC7467">
            <w:pPr>
              <w:spacing w:line="360" w:lineRule="auto"/>
            </w:pPr>
            <w:r>
              <w:t>20</w:t>
            </w:r>
            <w:r w:rsidRPr="00396258">
              <w:t>%</w:t>
            </w:r>
          </w:p>
        </w:tc>
      </w:tr>
      <w:tr w:rsidR="00D00B8A" w:rsidRPr="00396258" w14:paraId="44D7EB4B" w14:textId="77777777" w:rsidTr="00D00B8A">
        <w:trPr>
          <w:trHeight w:val="288"/>
          <w:jc w:val="center"/>
        </w:trPr>
        <w:tc>
          <w:tcPr>
            <w:tcW w:w="960" w:type="dxa"/>
            <w:vMerge/>
            <w:hideMark/>
          </w:tcPr>
          <w:p w14:paraId="160636D6" w14:textId="77777777" w:rsidR="00D00B8A" w:rsidRPr="00396258" w:rsidRDefault="00D00B8A" w:rsidP="00CC7467">
            <w:pPr>
              <w:spacing w:line="360" w:lineRule="auto"/>
            </w:pPr>
          </w:p>
        </w:tc>
        <w:tc>
          <w:tcPr>
            <w:tcW w:w="962" w:type="dxa"/>
            <w:noWrap/>
            <w:hideMark/>
          </w:tcPr>
          <w:p w14:paraId="07725A01" w14:textId="77777777" w:rsidR="00D00B8A" w:rsidRPr="00396258" w:rsidRDefault="00D00B8A" w:rsidP="00CC7467">
            <w:pPr>
              <w:spacing w:line="360" w:lineRule="auto"/>
            </w:pPr>
            <w:r w:rsidRPr="00396258">
              <w:t>SES3</w:t>
            </w:r>
          </w:p>
        </w:tc>
        <w:tc>
          <w:tcPr>
            <w:tcW w:w="2540" w:type="dxa"/>
            <w:noWrap/>
            <w:hideMark/>
          </w:tcPr>
          <w:p w14:paraId="48F39CEC" w14:textId="77777777" w:rsidR="00D00B8A" w:rsidRPr="00396258" w:rsidRDefault="00D00B8A" w:rsidP="00CC7467">
            <w:pPr>
              <w:spacing w:line="360" w:lineRule="auto"/>
            </w:pPr>
            <w:r>
              <w:t>0</w:t>
            </w:r>
            <w:r w:rsidRPr="00396258">
              <w:t>%</w:t>
            </w:r>
          </w:p>
        </w:tc>
      </w:tr>
      <w:tr w:rsidR="00D00B8A" w:rsidRPr="00396258" w14:paraId="5FBBE5B7" w14:textId="77777777" w:rsidTr="00D00B8A">
        <w:trPr>
          <w:trHeight w:val="288"/>
          <w:jc w:val="center"/>
        </w:trPr>
        <w:tc>
          <w:tcPr>
            <w:tcW w:w="960" w:type="dxa"/>
            <w:vMerge/>
            <w:hideMark/>
          </w:tcPr>
          <w:p w14:paraId="2A6A62C1" w14:textId="77777777" w:rsidR="00D00B8A" w:rsidRPr="00396258" w:rsidRDefault="00D00B8A" w:rsidP="00CC7467">
            <w:pPr>
              <w:spacing w:line="360" w:lineRule="auto"/>
            </w:pPr>
          </w:p>
        </w:tc>
        <w:tc>
          <w:tcPr>
            <w:tcW w:w="962" w:type="dxa"/>
            <w:noWrap/>
            <w:hideMark/>
          </w:tcPr>
          <w:p w14:paraId="4E5B5D08" w14:textId="77777777" w:rsidR="00D00B8A" w:rsidRPr="00396258" w:rsidRDefault="00D00B8A" w:rsidP="00CC7467">
            <w:pPr>
              <w:spacing w:line="360" w:lineRule="auto"/>
            </w:pPr>
            <w:r w:rsidRPr="00396258">
              <w:t>SES4</w:t>
            </w:r>
          </w:p>
        </w:tc>
        <w:tc>
          <w:tcPr>
            <w:tcW w:w="2540" w:type="dxa"/>
            <w:noWrap/>
            <w:hideMark/>
          </w:tcPr>
          <w:p w14:paraId="220CCA5C" w14:textId="77777777" w:rsidR="00D00B8A" w:rsidRPr="00396258" w:rsidRDefault="00D00B8A" w:rsidP="00CC7467">
            <w:pPr>
              <w:spacing w:line="360" w:lineRule="auto"/>
            </w:pPr>
            <w:r w:rsidRPr="00396258">
              <w:t>0%</w:t>
            </w:r>
          </w:p>
        </w:tc>
      </w:tr>
      <w:tr w:rsidR="00D00B8A" w:rsidRPr="00396258" w14:paraId="1A50610D" w14:textId="77777777" w:rsidTr="00D00B8A">
        <w:trPr>
          <w:trHeight w:val="288"/>
          <w:jc w:val="center"/>
        </w:trPr>
        <w:tc>
          <w:tcPr>
            <w:tcW w:w="960" w:type="dxa"/>
            <w:vMerge/>
            <w:hideMark/>
          </w:tcPr>
          <w:p w14:paraId="46688375" w14:textId="77777777" w:rsidR="00D00B8A" w:rsidRPr="00396258" w:rsidRDefault="00D00B8A" w:rsidP="00CC7467">
            <w:pPr>
              <w:spacing w:line="360" w:lineRule="auto"/>
            </w:pPr>
          </w:p>
        </w:tc>
        <w:tc>
          <w:tcPr>
            <w:tcW w:w="962" w:type="dxa"/>
            <w:noWrap/>
            <w:hideMark/>
          </w:tcPr>
          <w:p w14:paraId="32880183" w14:textId="77777777" w:rsidR="00D00B8A" w:rsidRPr="00396258" w:rsidRDefault="00D00B8A" w:rsidP="00CC7467">
            <w:pPr>
              <w:spacing w:line="360" w:lineRule="auto"/>
            </w:pPr>
            <w:r w:rsidRPr="00396258">
              <w:t>Highest</w:t>
            </w:r>
          </w:p>
        </w:tc>
        <w:tc>
          <w:tcPr>
            <w:tcW w:w="2540" w:type="dxa"/>
            <w:noWrap/>
            <w:hideMark/>
          </w:tcPr>
          <w:p w14:paraId="26AEC88C" w14:textId="77777777" w:rsidR="00D00B8A" w:rsidRPr="00396258" w:rsidRDefault="00D00B8A" w:rsidP="00CC7467">
            <w:pPr>
              <w:spacing w:line="360" w:lineRule="auto"/>
            </w:pPr>
            <w:r w:rsidRPr="00396258">
              <w:t>0%</w:t>
            </w:r>
          </w:p>
        </w:tc>
      </w:tr>
      <w:tr w:rsidR="00D00B8A" w:rsidRPr="00396258" w14:paraId="283FB2AE" w14:textId="77777777" w:rsidTr="00D00B8A">
        <w:trPr>
          <w:trHeight w:val="288"/>
          <w:jc w:val="center"/>
        </w:trPr>
        <w:tc>
          <w:tcPr>
            <w:tcW w:w="960" w:type="dxa"/>
            <w:vMerge w:val="restart"/>
            <w:noWrap/>
            <w:hideMark/>
          </w:tcPr>
          <w:p w14:paraId="18A8006C" w14:textId="77777777" w:rsidR="00D00B8A" w:rsidRPr="00396258" w:rsidRDefault="00D00B8A" w:rsidP="00CC7467">
            <w:pPr>
              <w:spacing w:line="360" w:lineRule="auto"/>
            </w:pPr>
            <w:r w:rsidRPr="00396258">
              <w:t>North</w:t>
            </w:r>
          </w:p>
        </w:tc>
        <w:tc>
          <w:tcPr>
            <w:tcW w:w="962" w:type="dxa"/>
            <w:noWrap/>
            <w:hideMark/>
          </w:tcPr>
          <w:p w14:paraId="0024FAC4" w14:textId="77777777" w:rsidR="00D00B8A" w:rsidRPr="00396258" w:rsidRDefault="00D00B8A" w:rsidP="00CC7467">
            <w:pPr>
              <w:spacing w:line="360" w:lineRule="auto"/>
            </w:pPr>
            <w:r w:rsidRPr="00396258">
              <w:t>Lowest</w:t>
            </w:r>
          </w:p>
        </w:tc>
        <w:tc>
          <w:tcPr>
            <w:tcW w:w="2540" w:type="dxa"/>
            <w:noWrap/>
            <w:hideMark/>
          </w:tcPr>
          <w:p w14:paraId="25B4E847" w14:textId="77777777" w:rsidR="00D00B8A" w:rsidRPr="00396258" w:rsidRDefault="00D00B8A" w:rsidP="00CC7467">
            <w:pPr>
              <w:spacing w:line="360" w:lineRule="auto"/>
            </w:pPr>
            <w:r w:rsidRPr="00396258">
              <w:t>50%</w:t>
            </w:r>
          </w:p>
        </w:tc>
      </w:tr>
      <w:tr w:rsidR="00D00B8A" w:rsidRPr="00396258" w14:paraId="46702488" w14:textId="77777777" w:rsidTr="00D00B8A">
        <w:trPr>
          <w:trHeight w:val="288"/>
          <w:jc w:val="center"/>
        </w:trPr>
        <w:tc>
          <w:tcPr>
            <w:tcW w:w="960" w:type="dxa"/>
            <w:vMerge/>
            <w:hideMark/>
          </w:tcPr>
          <w:p w14:paraId="2EB678A1" w14:textId="77777777" w:rsidR="00D00B8A" w:rsidRPr="00396258" w:rsidRDefault="00D00B8A" w:rsidP="00CC7467">
            <w:pPr>
              <w:spacing w:line="360" w:lineRule="auto"/>
            </w:pPr>
          </w:p>
        </w:tc>
        <w:tc>
          <w:tcPr>
            <w:tcW w:w="962" w:type="dxa"/>
            <w:noWrap/>
            <w:hideMark/>
          </w:tcPr>
          <w:p w14:paraId="293E93E7" w14:textId="77777777" w:rsidR="00D00B8A" w:rsidRPr="00396258" w:rsidRDefault="00D00B8A" w:rsidP="00CC7467">
            <w:pPr>
              <w:spacing w:line="360" w:lineRule="auto"/>
            </w:pPr>
            <w:r w:rsidRPr="00396258">
              <w:t>SES2</w:t>
            </w:r>
          </w:p>
        </w:tc>
        <w:tc>
          <w:tcPr>
            <w:tcW w:w="2540" w:type="dxa"/>
            <w:noWrap/>
            <w:hideMark/>
          </w:tcPr>
          <w:p w14:paraId="60BCCF78" w14:textId="77777777" w:rsidR="00D00B8A" w:rsidRPr="00396258" w:rsidRDefault="00D00B8A" w:rsidP="00CC7467">
            <w:pPr>
              <w:spacing w:line="360" w:lineRule="auto"/>
            </w:pPr>
            <w:r w:rsidRPr="00396258">
              <w:t>30%</w:t>
            </w:r>
          </w:p>
        </w:tc>
      </w:tr>
      <w:tr w:rsidR="00D00B8A" w:rsidRPr="00396258" w14:paraId="182B55B2" w14:textId="77777777" w:rsidTr="00D00B8A">
        <w:trPr>
          <w:trHeight w:val="288"/>
          <w:jc w:val="center"/>
        </w:trPr>
        <w:tc>
          <w:tcPr>
            <w:tcW w:w="960" w:type="dxa"/>
            <w:vMerge/>
            <w:hideMark/>
          </w:tcPr>
          <w:p w14:paraId="57364B7F" w14:textId="77777777" w:rsidR="00D00B8A" w:rsidRPr="00396258" w:rsidRDefault="00D00B8A" w:rsidP="00CC7467">
            <w:pPr>
              <w:spacing w:line="360" w:lineRule="auto"/>
            </w:pPr>
          </w:p>
        </w:tc>
        <w:tc>
          <w:tcPr>
            <w:tcW w:w="962" w:type="dxa"/>
            <w:noWrap/>
            <w:hideMark/>
          </w:tcPr>
          <w:p w14:paraId="58FB3C06" w14:textId="77777777" w:rsidR="00D00B8A" w:rsidRPr="00396258" w:rsidRDefault="00D00B8A" w:rsidP="00CC7467">
            <w:pPr>
              <w:spacing w:line="360" w:lineRule="auto"/>
            </w:pPr>
            <w:r w:rsidRPr="00396258">
              <w:t>SES3</w:t>
            </w:r>
          </w:p>
        </w:tc>
        <w:tc>
          <w:tcPr>
            <w:tcW w:w="2540" w:type="dxa"/>
            <w:noWrap/>
            <w:hideMark/>
          </w:tcPr>
          <w:p w14:paraId="393A99CE" w14:textId="77777777" w:rsidR="00D00B8A" w:rsidRPr="00396258" w:rsidRDefault="00D00B8A" w:rsidP="00CC7467">
            <w:pPr>
              <w:spacing w:line="360" w:lineRule="auto"/>
            </w:pPr>
            <w:r w:rsidRPr="00396258">
              <w:t>10%</w:t>
            </w:r>
          </w:p>
        </w:tc>
      </w:tr>
      <w:tr w:rsidR="00D00B8A" w:rsidRPr="00396258" w14:paraId="5149586B" w14:textId="77777777" w:rsidTr="00D00B8A">
        <w:trPr>
          <w:trHeight w:val="288"/>
          <w:jc w:val="center"/>
        </w:trPr>
        <w:tc>
          <w:tcPr>
            <w:tcW w:w="960" w:type="dxa"/>
            <w:vMerge/>
            <w:hideMark/>
          </w:tcPr>
          <w:p w14:paraId="518349AE" w14:textId="77777777" w:rsidR="00D00B8A" w:rsidRPr="00396258" w:rsidRDefault="00D00B8A" w:rsidP="00CC7467">
            <w:pPr>
              <w:spacing w:line="360" w:lineRule="auto"/>
            </w:pPr>
          </w:p>
        </w:tc>
        <w:tc>
          <w:tcPr>
            <w:tcW w:w="962" w:type="dxa"/>
            <w:noWrap/>
            <w:hideMark/>
          </w:tcPr>
          <w:p w14:paraId="34AE8502" w14:textId="77777777" w:rsidR="00D00B8A" w:rsidRPr="00396258" w:rsidRDefault="00D00B8A" w:rsidP="00CC7467">
            <w:pPr>
              <w:spacing w:line="360" w:lineRule="auto"/>
            </w:pPr>
            <w:r w:rsidRPr="00396258">
              <w:t>SES4</w:t>
            </w:r>
          </w:p>
        </w:tc>
        <w:tc>
          <w:tcPr>
            <w:tcW w:w="2540" w:type="dxa"/>
            <w:noWrap/>
            <w:hideMark/>
          </w:tcPr>
          <w:p w14:paraId="26316DAD" w14:textId="77777777" w:rsidR="00D00B8A" w:rsidRPr="00396258" w:rsidRDefault="00D00B8A" w:rsidP="00CC7467">
            <w:pPr>
              <w:spacing w:line="360" w:lineRule="auto"/>
            </w:pPr>
            <w:r w:rsidRPr="00396258">
              <w:t>0%</w:t>
            </w:r>
          </w:p>
        </w:tc>
      </w:tr>
      <w:tr w:rsidR="00D00B8A" w:rsidRPr="00396258" w14:paraId="4DC9A298" w14:textId="77777777" w:rsidTr="00D00B8A">
        <w:trPr>
          <w:trHeight w:val="288"/>
          <w:jc w:val="center"/>
        </w:trPr>
        <w:tc>
          <w:tcPr>
            <w:tcW w:w="960" w:type="dxa"/>
            <w:vMerge/>
            <w:hideMark/>
          </w:tcPr>
          <w:p w14:paraId="05D1E128" w14:textId="77777777" w:rsidR="00D00B8A" w:rsidRPr="00396258" w:rsidRDefault="00D00B8A" w:rsidP="00CC7467">
            <w:pPr>
              <w:spacing w:line="360" w:lineRule="auto"/>
            </w:pPr>
          </w:p>
        </w:tc>
        <w:tc>
          <w:tcPr>
            <w:tcW w:w="962" w:type="dxa"/>
            <w:noWrap/>
            <w:hideMark/>
          </w:tcPr>
          <w:p w14:paraId="5FB77EAA" w14:textId="77777777" w:rsidR="00D00B8A" w:rsidRPr="00396258" w:rsidRDefault="00D00B8A" w:rsidP="00CC7467">
            <w:pPr>
              <w:spacing w:line="360" w:lineRule="auto"/>
            </w:pPr>
            <w:r w:rsidRPr="00396258">
              <w:t>Highest</w:t>
            </w:r>
          </w:p>
        </w:tc>
        <w:tc>
          <w:tcPr>
            <w:tcW w:w="2540" w:type="dxa"/>
            <w:noWrap/>
            <w:hideMark/>
          </w:tcPr>
          <w:p w14:paraId="1D83365F" w14:textId="77777777" w:rsidR="00D00B8A" w:rsidRPr="00396258" w:rsidRDefault="00D00B8A" w:rsidP="00CC7467">
            <w:pPr>
              <w:spacing w:line="360" w:lineRule="auto"/>
            </w:pPr>
            <w:r w:rsidRPr="00396258">
              <w:t>0%</w:t>
            </w:r>
          </w:p>
        </w:tc>
      </w:tr>
    </w:tbl>
    <w:p w14:paraId="01922289" w14:textId="77777777" w:rsidR="00D00B8A" w:rsidRDefault="00D00B8A" w:rsidP="00D00B8A">
      <w:pPr>
        <w:spacing w:line="480" w:lineRule="auto"/>
        <w:rPr>
          <w:rFonts w:ascii="Times New Roman" w:hAnsi="Times New Roman" w:cs="Times New Roman"/>
          <w:sz w:val="24"/>
          <w:szCs w:val="24"/>
        </w:rPr>
      </w:pPr>
    </w:p>
    <w:p w14:paraId="0D4F9174" w14:textId="15CC86FF" w:rsidR="00D00B8A" w:rsidRPr="005D3BD6" w:rsidRDefault="00D00B8A" w:rsidP="00D00B8A">
      <w:pPr>
        <w:spacing w:line="480" w:lineRule="auto"/>
        <w:rPr>
          <w:rFonts w:ascii="Times New Roman" w:hAnsi="Times New Roman" w:cs="Times New Roman"/>
          <w:sz w:val="24"/>
          <w:szCs w:val="24"/>
        </w:rPr>
      </w:pPr>
      <w:r w:rsidRPr="005D3BD6">
        <w:rPr>
          <w:rFonts w:ascii="Times New Roman" w:hAnsi="Times New Roman" w:cs="Times New Roman"/>
          <w:sz w:val="24"/>
          <w:szCs w:val="24"/>
        </w:rPr>
        <w:t xml:space="preserve">The outcomes </w:t>
      </w:r>
      <w:r w:rsidR="00F34414">
        <w:rPr>
          <w:rFonts w:ascii="Times New Roman" w:hAnsi="Times New Roman" w:cs="Times New Roman"/>
          <w:sz w:val="24"/>
          <w:szCs w:val="24"/>
        </w:rPr>
        <w:t xml:space="preserve">you will be calculating in </w:t>
      </w:r>
      <w:r w:rsidR="0067296D">
        <w:rPr>
          <w:rFonts w:ascii="Times New Roman" w:hAnsi="Times New Roman" w:cs="Times New Roman"/>
          <w:sz w:val="24"/>
          <w:szCs w:val="24"/>
        </w:rPr>
        <w:t xml:space="preserve">this exercise </w:t>
      </w:r>
      <w:r w:rsidRPr="005D3BD6">
        <w:rPr>
          <w:rFonts w:ascii="Times New Roman" w:hAnsi="Times New Roman" w:cs="Times New Roman"/>
          <w:sz w:val="24"/>
          <w:szCs w:val="24"/>
        </w:rPr>
        <w:t>are:</w:t>
      </w:r>
    </w:p>
    <w:p w14:paraId="408BD14D" w14:textId="77777777" w:rsidR="00D00B8A" w:rsidRPr="005D3BD6" w:rsidRDefault="00D00B8A" w:rsidP="00D00B8A">
      <w:pPr>
        <w:pStyle w:val="ListParagraph"/>
        <w:numPr>
          <w:ilvl w:val="0"/>
          <w:numId w:val="8"/>
        </w:numPr>
        <w:spacing w:after="160" w:line="480" w:lineRule="auto"/>
        <w:rPr>
          <w:rFonts w:ascii="Times New Roman" w:hAnsi="Times New Roman" w:cs="Times New Roman"/>
          <w:sz w:val="24"/>
          <w:szCs w:val="24"/>
        </w:rPr>
      </w:pPr>
      <w:r w:rsidRPr="005D3BD6">
        <w:rPr>
          <w:rFonts w:ascii="Times New Roman" w:hAnsi="Times New Roman" w:cs="Times New Roman"/>
          <w:sz w:val="24"/>
          <w:szCs w:val="24"/>
        </w:rPr>
        <w:t>The total lifetime NHS costs associated with each scenario</w:t>
      </w:r>
    </w:p>
    <w:p w14:paraId="4EE95FB9" w14:textId="77777777" w:rsidR="00D00B8A" w:rsidRPr="005D3BD6" w:rsidRDefault="00D00B8A" w:rsidP="00D00B8A">
      <w:pPr>
        <w:pStyle w:val="ListParagraph"/>
        <w:numPr>
          <w:ilvl w:val="0"/>
          <w:numId w:val="8"/>
        </w:numPr>
        <w:spacing w:after="160" w:line="480" w:lineRule="auto"/>
        <w:rPr>
          <w:rFonts w:ascii="Times New Roman" w:hAnsi="Times New Roman" w:cs="Times New Roman"/>
          <w:sz w:val="24"/>
          <w:szCs w:val="24"/>
        </w:rPr>
      </w:pPr>
      <w:r w:rsidRPr="005D3BD6">
        <w:rPr>
          <w:rFonts w:ascii="Times New Roman" w:hAnsi="Times New Roman" w:cs="Times New Roman"/>
          <w:sz w:val="24"/>
          <w:szCs w:val="24"/>
        </w:rPr>
        <w:t>The total lifetime Health-Adjusted Life Years (HALYs) associated with each scenario</w:t>
      </w:r>
    </w:p>
    <w:p w14:paraId="6A0A137F" w14:textId="77777777" w:rsidR="00D00B8A" w:rsidRPr="005D3BD6" w:rsidRDefault="00D00B8A" w:rsidP="00D00B8A">
      <w:pPr>
        <w:pStyle w:val="ListParagraph"/>
        <w:numPr>
          <w:ilvl w:val="0"/>
          <w:numId w:val="8"/>
        </w:numPr>
        <w:spacing w:after="160" w:line="480" w:lineRule="auto"/>
        <w:rPr>
          <w:rFonts w:ascii="Times New Roman" w:hAnsi="Times New Roman" w:cs="Times New Roman"/>
          <w:sz w:val="24"/>
          <w:szCs w:val="24"/>
        </w:rPr>
      </w:pPr>
      <w:r w:rsidRPr="005D3BD6">
        <w:rPr>
          <w:rFonts w:ascii="Times New Roman" w:hAnsi="Times New Roman" w:cs="Times New Roman"/>
          <w:sz w:val="24"/>
          <w:szCs w:val="24"/>
        </w:rPr>
        <w:t>The distribution of HALY gains across the population</w:t>
      </w:r>
    </w:p>
    <w:p w14:paraId="1F9AE06E" w14:textId="77777777" w:rsidR="00D00B8A" w:rsidRPr="005D3BD6" w:rsidRDefault="00D00B8A" w:rsidP="00D00B8A">
      <w:pPr>
        <w:spacing w:line="480" w:lineRule="auto"/>
        <w:rPr>
          <w:rFonts w:ascii="Times New Roman" w:hAnsi="Times New Roman" w:cs="Times New Roman"/>
          <w:sz w:val="24"/>
          <w:szCs w:val="24"/>
        </w:rPr>
      </w:pPr>
      <w:r w:rsidRPr="005D3BD6">
        <w:rPr>
          <w:rFonts w:ascii="Times New Roman" w:hAnsi="Times New Roman" w:cs="Times New Roman"/>
          <w:sz w:val="24"/>
          <w:szCs w:val="24"/>
        </w:rPr>
        <w:t>The distribution of HALY gains will be assessed across 10 health groups, determined by geography (North of South of England) and SES (five groups from 1 (lowest) to 5 (highest)).</w:t>
      </w:r>
    </w:p>
    <w:p w14:paraId="13A0A804" w14:textId="77777777" w:rsidR="00D00B8A" w:rsidRPr="005D3BD6" w:rsidRDefault="00D00B8A" w:rsidP="00D00B8A">
      <w:pPr>
        <w:spacing w:line="480" w:lineRule="auto"/>
        <w:rPr>
          <w:rFonts w:ascii="Times New Roman" w:hAnsi="Times New Roman" w:cs="Times New Roman"/>
          <w:sz w:val="24"/>
          <w:szCs w:val="24"/>
        </w:rPr>
      </w:pPr>
      <w:r w:rsidRPr="005D3BD6">
        <w:rPr>
          <w:rFonts w:ascii="Times New Roman" w:hAnsi="Times New Roman" w:cs="Times New Roman"/>
          <w:sz w:val="24"/>
          <w:szCs w:val="24"/>
        </w:rPr>
        <w:t xml:space="preserve">You have been provided with a starter model, which includes </w:t>
      </w:r>
      <w:proofErr w:type="gramStart"/>
      <w:r w:rsidRPr="005D3BD6">
        <w:rPr>
          <w:rFonts w:ascii="Times New Roman" w:hAnsi="Times New Roman" w:cs="Times New Roman"/>
          <w:sz w:val="24"/>
          <w:szCs w:val="24"/>
        </w:rPr>
        <w:t>all of</w:t>
      </w:r>
      <w:proofErr w:type="gramEnd"/>
      <w:r w:rsidRPr="005D3BD6">
        <w:rPr>
          <w:rFonts w:ascii="Times New Roman" w:hAnsi="Times New Roman" w:cs="Times New Roman"/>
          <w:sz w:val="24"/>
          <w:szCs w:val="24"/>
        </w:rPr>
        <w:t xml:space="preserve"> the key information you will need to complete this exercise. Where appropriate this information is stratified by SES, or by SES and geography. Where the input data is not stratified, you should assume it is the same for the entire population (e.g. where inputs are stratified by SES only you should assume they are the same for that SES group in both geographic groups).</w:t>
      </w:r>
    </w:p>
    <w:p w14:paraId="155A62F2" w14:textId="10857A9E" w:rsidR="00D00B8A" w:rsidRPr="00D00B8A" w:rsidRDefault="00EB47F7" w:rsidP="00F34414">
      <w:pPr>
        <w:pStyle w:val="Heading2"/>
        <w:spacing w:before="160" w:line="480" w:lineRule="auto"/>
        <w:contextualSpacing w:val="0"/>
        <w:rPr>
          <w:rFonts w:ascii="Times New Roman" w:hAnsi="Times New Roman" w:cs="Times New Roman"/>
          <w:b/>
          <w:sz w:val="24"/>
          <w:szCs w:val="24"/>
        </w:rPr>
      </w:pPr>
      <w:r>
        <w:rPr>
          <w:rFonts w:ascii="Times New Roman" w:hAnsi="Times New Roman" w:cs="Times New Roman"/>
          <w:b/>
          <w:sz w:val="24"/>
          <w:szCs w:val="24"/>
        </w:rPr>
        <w:lastRenderedPageBreak/>
        <w:t>Getting started</w:t>
      </w:r>
      <w:r w:rsidR="00AA77D9">
        <w:rPr>
          <w:rFonts w:ascii="Times New Roman" w:hAnsi="Times New Roman" w:cs="Times New Roman"/>
          <w:b/>
          <w:sz w:val="24"/>
          <w:szCs w:val="24"/>
        </w:rPr>
        <w:t xml:space="preserve"> – full exercise</w:t>
      </w:r>
    </w:p>
    <w:p w14:paraId="499022F6" w14:textId="310A527C" w:rsidR="00FE2468" w:rsidRDefault="00D00B8A" w:rsidP="00D00B8A">
      <w:pPr>
        <w:spacing w:line="480" w:lineRule="auto"/>
        <w:rPr>
          <w:rFonts w:ascii="Times New Roman" w:hAnsi="Times New Roman" w:cs="Times New Roman"/>
          <w:sz w:val="24"/>
          <w:szCs w:val="24"/>
        </w:rPr>
      </w:pPr>
      <w:r w:rsidRPr="005D3BD6">
        <w:rPr>
          <w:rFonts w:ascii="Times New Roman" w:hAnsi="Times New Roman" w:cs="Times New Roman"/>
          <w:sz w:val="24"/>
          <w:szCs w:val="24"/>
        </w:rPr>
        <w:t xml:space="preserve">Open the file </w:t>
      </w:r>
      <w:r>
        <w:rPr>
          <w:rFonts w:ascii="Times New Roman" w:hAnsi="Times New Roman" w:cs="Times New Roman"/>
          <w:sz w:val="24"/>
          <w:szCs w:val="24"/>
        </w:rPr>
        <w:t>‘</w:t>
      </w:r>
      <w:r w:rsidRPr="001D1EBD">
        <w:rPr>
          <w:rFonts w:ascii="Times New Roman" w:eastAsia="Times New Roman" w:hAnsi="Times New Roman"/>
          <w:bCs/>
          <w:i/>
          <w:color w:val="000000"/>
          <w:sz w:val="24"/>
          <w:szCs w:val="24"/>
          <w:lang w:eastAsia="en-GB"/>
        </w:rPr>
        <w:t>Ex 8 – student file’</w:t>
      </w:r>
      <w:r>
        <w:rPr>
          <w:rFonts w:ascii="Times New Roman" w:eastAsia="Times New Roman" w:hAnsi="Times New Roman"/>
          <w:bCs/>
          <w:iCs/>
          <w:color w:val="000000"/>
          <w:sz w:val="24"/>
          <w:szCs w:val="24"/>
          <w:lang w:eastAsia="en-GB"/>
        </w:rPr>
        <w:t>.</w:t>
      </w:r>
      <w:r>
        <w:rPr>
          <w:rFonts w:ascii="Times New Roman" w:hAnsi="Times New Roman" w:cs="Times New Roman"/>
          <w:i/>
          <w:sz w:val="24"/>
          <w:szCs w:val="24"/>
        </w:rPr>
        <w:t xml:space="preserve">  </w:t>
      </w:r>
      <w:r w:rsidRPr="005D3BD6">
        <w:rPr>
          <w:rFonts w:ascii="Times New Roman" w:hAnsi="Times New Roman" w:cs="Times New Roman"/>
          <w:sz w:val="24"/>
          <w:szCs w:val="24"/>
        </w:rPr>
        <w:t xml:space="preserve"> </w:t>
      </w:r>
      <w:r w:rsidR="00EB47F7">
        <w:rPr>
          <w:rFonts w:ascii="Times New Roman" w:hAnsi="Times New Roman" w:cs="Times New Roman"/>
          <w:sz w:val="24"/>
          <w:szCs w:val="24"/>
        </w:rPr>
        <w:t>After the</w:t>
      </w:r>
      <w:r w:rsidR="003C3904">
        <w:rPr>
          <w:rFonts w:ascii="Times New Roman" w:hAnsi="Times New Roman" w:cs="Times New Roman"/>
          <w:sz w:val="24"/>
          <w:szCs w:val="24"/>
        </w:rPr>
        <w:t xml:space="preserve"> </w:t>
      </w:r>
      <w:r w:rsidRPr="005D3BD6">
        <w:rPr>
          <w:rFonts w:ascii="Times New Roman" w:hAnsi="Times New Roman" w:cs="Times New Roman"/>
          <w:sz w:val="24"/>
          <w:szCs w:val="24"/>
        </w:rPr>
        <w:t>&lt;</w:t>
      </w:r>
      <w:r w:rsidR="00E153CF">
        <w:rPr>
          <w:rFonts w:ascii="Times New Roman" w:hAnsi="Times New Roman" w:cs="Times New Roman"/>
          <w:sz w:val="24"/>
          <w:szCs w:val="24"/>
        </w:rPr>
        <w:t>Title</w:t>
      </w:r>
      <w:r w:rsidR="002F531F">
        <w:rPr>
          <w:rFonts w:ascii="Times New Roman" w:hAnsi="Times New Roman" w:cs="Times New Roman"/>
          <w:sz w:val="24"/>
          <w:szCs w:val="24"/>
        </w:rPr>
        <w:t xml:space="preserve"> </w:t>
      </w:r>
      <w:r w:rsidR="003C3904">
        <w:rPr>
          <w:rFonts w:ascii="Times New Roman" w:hAnsi="Times New Roman" w:cs="Times New Roman"/>
          <w:sz w:val="24"/>
          <w:szCs w:val="24"/>
        </w:rPr>
        <w:t>S</w:t>
      </w:r>
      <w:r w:rsidR="002F531F">
        <w:rPr>
          <w:rFonts w:ascii="Times New Roman" w:hAnsi="Times New Roman" w:cs="Times New Roman"/>
          <w:sz w:val="24"/>
          <w:szCs w:val="24"/>
        </w:rPr>
        <w:t>heet</w:t>
      </w:r>
      <w:r w:rsidRPr="005D3BD6">
        <w:rPr>
          <w:rFonts w:ascii="Times New Roman" w:hAnsi="Times New Roman" w:cs="Times New Roman"/>
          <w:sz w:val="24"/>
          <w:szCs w:val="24"/>
        </w:rPr>
        <w:t>&gt;</w:t>
      </w:r>
      <w:r w:rsidR="00EB47F7">
        <w:rPr>
          <w:rFonts w:ascii="Times New Roman" w:hAnsi="Times New Roman" w:cs="Times New Roman"/>
          <w:sz w:val="24"/>
          <w:szCs w:val="24"/>
        </w:rPr>
        <w:t xml:space="preserve">, the </w:t>
      </w:r>
      <w:r w:rsidRPr="005D3BD6">
        <w:rPr>
          <w:rFonts w:ascii="Times New Roman" w:hAnsi="Times New Roman" w:cs="Times New Roman"/>
          <w:sz w:val="24"/>
          <w:szCs w:val="24"/>
        </w:rPr>
        <w:t>&lt;Inputs</w:t>
      </w:r>
      <w:r w:rsidR="00E153CF">
        <w:rPr>
          <w:rFonts w:ascii="Times New Roman" w:hAnsi="Times New Roman" w:cs="Times New Roman"/>
          <w:sz w:val="24"/>
          <w:szCs w:val="24"/>
        </w:rPr>
        <w:t xml:space="preserve"> 1</w:t>
      </w:r>
      <w:r w:rsidRPr="005D3BD6">
        <w:rPr>
          <w:rFonts w:ascii="Times New Roman" w:hAnsi="Times New Roman" w:cs="Times New Roman"/>
          <w:sz w:val="24"/>
          <w:szCs w:val="24"/>
        </w:rPr>
        <w:t xml:space="preserve">&gt; </w:t>
      </w:r>
      <w:r w:rsidR="00E153CF">
        <w:rPr>
          <w:rFonts w:ascii="Times New Roman" w:hAnsi="Times New Roman" w:cs="Times New Roman"/>
          <w:sz w:val="24"/>
          <w:szCs w:val="24"/>
        </w:rPr>
        <w:t xml:space="preserve">and &lt;Inputs 2&gt; </w:t>
      </w:r>
      <w:r w:rsidRPr="005D3BD6">
        <w:rPr>
          <w:rFonts w:ascii="Times New Roman" w:hAnsi="Times New Roman" w:cs="Times New Roman"/>
          <w:sz w:val="24"/>
          <w:szCs w:val="24"/>
        </w:rPr>
        <w:t>worksheet</w:t>
      </w:r>
      <w:r w:rsidR="00E153CF">
        <w:rPr>
          <w:rFonts w:ascii="Times New Roman" w:hAnsi="Times New Roman" w:cs="Times New Roman"/>
          <w:sz w:val="24"/>
          <w:szCs w:val="24"/>
        </w:rPr>
        <w:t>s</w:t>
      </w:r>
      <w:r w:rsidRPr="005D3BD6">
        <w:rPr>
          <w:rFonts w:ascii="Times New Roman" w:hAnsi="Times New Roman" w:cs="Times New Roman"/>
          <w:sz w:val="24"/>
          <w:szCs w:val="24"/>
        </w:rPr>
        <w:t xml:space="preserve"> contain all the</w:t>
      </w:r>
      <w:r w:rsidR="00E153CF">
        <w:rPr>
          <w:rFonts w:ascii="Times New Roman" w:hAnsi="Times New Roman" w:cs="Times New Roman"/>
          <w:sz w:val="24"/>
          <w:szCs w:val="24"/>
        </w:rPr>
        <w:t xml:space="preserve"> input</w:t>
      </w:r>
      <w:r w:rsidRPr="005D3BD6">
        <w:rPr>
          <w:rFonts w:ascii="Times New Roman" w:hAnsi="Times New Roman" w:cs="Times New Roman"/>
          <w:sz w:val="24"/>
          <w:szCs w:val="24"/>
        </w:rPr>
        <w:t xml:space="preserve"> data require</w:t>
      </w:r>
      <w:r w:rsidR="00EB47F7">
        <w:rPr>
          <w:rFonts w:ascii="Times New Roman" w:hAnsi="Times New Roman" w:cs="Times New Roman"/>
          <w:sz w:val="24"/>
          <w:szCs w:val="24"/>
        </w:rPr>
        <w:t>d</w:t>
      </w:r>
      <w:r w:rsidRPr="005D3BD6">
        <w:rPr>
          <w:rFonts w:ascii="Times New Roman" w:hAnsi="Times New Roman" w:cs="Times New Roman"/>
          <w:sz w:val="24"/>
          <w:szCs w:val="24"/>
        </w:rPr>
        <w:t xml:space="preserve"> to build and populate the model – </w:t>
      </w:r>
      <w:r w:rsidR="00E153CF">
        <w:rPr>
          <w:rFonts w:ascii="Times New Roman" w:hAnsi="Times New Roman" w:cs="Times New Roman"/>
          <w:sz w:val="24"/>
          <w:szCs w:val="24"/>
        </w:rPr>
        <w:t xml:space="preserve">including estimates of baseline health-adjusted life expectancy by social group </w:t>
      </w:r>
      <w:r w:rsidRPr="005D3BD6">
        <w:rPr>
          <w:rFonts w:ascii="Times New Roman" w:hAnsi="Times New Roman" w:cs="Times New Roman"/>
          <w:sz w:val="24"/>
          <w:szCs w:val="24"/>
        </w:rPr>
        <w:t xml:space="preserve">drawn from </w:t>
      </w:r>
      <w:r w:rsidR="00E153CF">
        <w:rPr>
          <w:rFonts w:ascii="Times New Roman" w:hAnsi="Times New Roman" w:cs="Times New Roman"/>
          <w:sz w:val="24"/>
          <w:szCs w:val="24"/>
        </w:rPr>
        <w:t>E</w:t>
      </w:r>
      <w:r w:rsidRPr="005D3BD6">
        <w:rPr>
          <w:rFonts w:ascii="Times New Roman" w:hAnsi="Times New Roman" w:cs="Times New Roman"/>
          <w:sz w:val="24"/>
          <w:szCs w:val="24"/>
        </w:rPr>
        <w:t xml:space="preserve">xercise 7. </w:t>
      </w:r>
    </w:p>
    <w:p w14:paraId="648D8734" w14:textId="77777777" w:rsidR="00FE2468" w:rsidRDefault="00FE2468" w:rsidP="00D00B8A">
      <w:pPr>
        <w:spacing w:line="480" w:lineRule="auto"/>
        <w:rPr>
          <w:rFonts w:ascii="Times New Roman" w:hAnsi="Times New Roman" w:cs="Times New Roman"/>
          <w:sz w:val="24"/>
          <w:szCs w:val="24"/>
        </w:rPr>
      </w:pPr>
    </w:p>
    <w:p w14:paraId="02D701C6" w14:textId="04550F62" w:rsidR="003C3904" w:rsidRDefault="00FE2468" w:rsidP="00D00B8A">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D00B8A" w:rsidRPr="005D3BD6">
        <w:rPr>
          <w:rFonts w:ascii="Times New Roman" w:hAnsi="Times New Roman" w:cs="Times New Roman"/>
          <w:sz w:val="24"/>
          <w:szCs w:val="24"/>
        </w:rPr>
        <w:t xml:space="preserve">&lt;Quit Calcs&gt; sheet is </w:t>
      </w:r>
      <w:r w:rsidR="003B3258">
        <w:rPr>
          <w:rFonts w:ascii="Times New Roman" w:hAnsi="Times New Roman" w:cs="Times New Roman"/>
          <w:sz w:val="24"/>
          <w:szCs w:val="24"/>
        </w:rPr>
        <w:t xml:space="preserve">your first task.  Here you </w:t>
      </w:r>
      <w:r w:rsidR="00D00B8A" w:rsidRPr="005D3BD6">
        <w:rPr>
          <w:rFonts w:ascii="Times New Roman" w:hAnsi="Times New Roman" w:cs="Times New Roman"/>
          <w:sz w:val="24"/>
          <w:szCs w:val="24"/>
        </w:rPr>
        <w:t>will calculate the rates of successful long-term quitters under ea</w:t>
      </w:r>
      <w:r>
        <w:rPr>
          <w:rFonts w:ascii="Times New Roman" w:hAnsi="Times New Roman" w:cs="Times New Roman"/>
          <w:sz w:val="24"/>
          <w:szCs w:val="24"/>
        </w:rPr>
        <w:t>ch option.</w:t>
      </w:r>
      <w:r w:rsidR="00D00B8A" w:rsidRPr="005D3BD6">
        <w:rPr>
          <w:rFonts w:ascii="Times New Roman" w:hAnsi="Times New Roman" w:cs="Times New Roman"/>
          <w:sz w:val="24"/>
          <w:szCs w:val="24"/>
        </w:rPr>
        <w:t xml:space="preserve"> </w:t>
      </w:r>
      <w:r w:rsidR="003B3258">
        <w:rPr>
          <w:rFonts w:ascii="Times New Roman" w:hAnsi="Times New Roman" w:cs="Times New Roman"/>
          <w:sz w:val="24"/>
          <w:szCs w:val="24"/>
        </w:rPr>
        <w:t>In t</w:t>
      </w:r>
      <w:r w:rsidR="00D00B8A" w:rsidRPr="005D3BD6">
        <w:rPr>
          <w:rFonts w:ascii="Times New Roman" w:hAnsi="Times New Roman" w:cs="Times New Roman"/>
          <w:sz w:val="24"/>
          <w:szCs w:val="24"/>
        </w:rPr>
        <w:t>he &lt;</w:t>
      </w:r>
      <w:r w:rsidR="003B3258">
        <w:rPr>
          <w:rFonts w:ascii="Times New Roman" w:hAnsi="Times New Roman" w:cs="Times New Roman"/>
          <w:sz w:val="24"/>
          <w:szCs w:val="24"/>
        </w:rPr>
        <w:t>Costs and Effects</w:t>
      </w:r>
      <w:r w:rsidR="00D00B8A" w:rsidRPr="005D3BD6">
        <w:rPr>
          <w:rFonts w:ascii="Times New Roman" w:hAnsi="Times New Roman" w:cs="Times New Roman"/>
          <w:sz w:val="24"/>
          <w:szCs w:val="24"/>
        </w:rPr>
        <w:t xml:space="preserve">&gt; sheet you will </w:t>
      </w:r>
      <w:r w:rsidR="003B3258">
        <w:rPr>
          <w:rFonts w:ascii="Times New Roman" w:hAnsi="Times New Roman" w:cs="Times New Roman"/>
          <w:sz w:val="24"/>
          <w:szCs w:val="24"/>
        </w:rPr>
        <w:t xml:space="preserve">then </w:t>
      </w:r>
      <w:r w:rsidR="00D00B8A" w:rsidRPr="005D3BD6">
        <w:rPr>
          <w:rFonts w:ascii="Times New Roman" w:hAnsi="Times New Roman" w:cs="Times New Roman"/>
          <w:sz w:val="24"/>
          <w:szCs w:val="24"/>
        </w:rPr>
        <w:t xml:space="preserve">convert these into long-term costs and health </w:t>
      </w:r>
      <w:r w:rsidR="003B3258">
        <w:rPr>
          <w:rFonts w:ascii="Times New Roman" w:hAnsi="Times New Roman" w:cs="Times New Roman"/>
          <w:sz w:val="24"/>
          <w:szCs w:val="24"/>
        </w:rPr>
        <w:t>effects.  In the &lt;CEA&gt; sheet you will perform a standard cost-effectiveness analysis</w:t>
      </w:r>
      <w:r w:rsidR="00EB47F7">
        <w:rPr>
          <w:rFonts w:ascii="Times New Roman" w:hAnsi="Times New Roman" w:cs="Times New Roman"/>
          <w:sz w:val="24"/>
          <w:szCs w:val="24"/>
        </w:rPr>
        <w:t xml:space="preserve">, with findings </w:t>
      </w:r>
      <w:r w:rsidR="00C21E93">
        <w:rPr>
          <w:rFonts w:ascii="Times New Roman" w:hAnsi="Times New Roman" w:cs="Times New Roman"/>
          <w:sz w:val="24"/>
          <w:szCs w:val="24"/>
        </w:rPr>
        <w:t xml:space="preserve">displayed </w:t>
      </w:r>
      <w:r w:rsidR="003B3258">
        <w:rPr>
          <w:rFonts w:ascii="Times New Roman" w:hAnsi="Times New Roman" w:cs="Times New Roman"/>
          <w:sz w:val="24"/>
          <w:szCs w:val="24"/>
        </w:rPr>
        <w:t>in a cost-effectiveness plane.  In t</w:t>
      </w:r>
      <w:r w:rsidR="00D00B8A" w:rsidRPr="005D3BD6">
        <w:rPr>
          <w:rFonts w:ascii="Times New Roman" w:hAnsi="Times New Roman" w:cs="Times New Roman"/>
          <w:sz w:val="24"/>
          <w:szCs w:val="24"/>
        </w:rPr>
        <w:t>he &lt;</w:t>
      </w:r>
      <w:proofErr w:type="spellStart"/>
      <w:r w:rsidR="003B3258">
        <w:rPr>
          <w:rFonts w:ascii="Times New Roman" w:hAnsi="Times New Roman" w:cs="Times New Roman"/>
          <w:sz w:val="24"/>
          <w:szCs w:val="24"/>
        </w:rPr>
        <w:t>Dist</w:t>
      </w:r>
      <w:proofErr w:type="spellEnd"/>
      <w:r w:rsidR="003B3258">
        <w:rPr>
          <w:rFonts w:ascii="Times New Roman" w:hAnsi="Times New Roman" w:cs="Times New Roman"/>
          <w:sz w:val="24"/>
          <w:szCs w:val="24"/>
        </w:rPr>
        <w:t xml:space="preserve"> Table</w:t>
      </w:r>
      <w:r w:rsidR="00D00B8A" w:rsidRPr="005D3BD6">
        <w:rPr>
          <w:rFonts w:ascii="Times New Roman" w:hAnsi="Times New Roman" w:cs="Times New Roman"/>
          <w:sz w:val="24"/>
          <w:szCs w:val="24"/>
        </w:rPr>
        <w:t xml:space="preserve">&gt; sheet you will </w:t>
      </w:r>
      <w:proofErr w:type="spellStart"/>
      <w:r w:rsidR="00D00B8A" w:rsidRPr="005D3BD6">
        <w:rPr>
          <w:rFonts w:ascii="Times New Roman" w:hAnsi="Times New Roman" w:cs="Times New Roman"/>
          <w:sz w:val="24"/>
          <w:szCs w:val="24"/>
        </w:rPr>
        <w:t>summarise</w:t>
      </w:r>
      <w:proofErr w:type="spellEnd"/>
      <w:r w:rsidR="00D00B8A" w:rsidRPr="005D3BD6">
        <w:rPr>
          <w:rFonts w:ascii="Times New Roman" w:hAnsi="Times New Roman" w:cs="Times New Roman"/>
          <w:sz w:val="24"/>
          <w:szCs w:val="24"/>
        </w:rPr>
        <w:t xml:space="preserve"> the</w:t>
      </w:r>
      <w:r w:rsidR="003B3258">
        <w:rPr>
          <w:rFonts w:ascii="Times New Roman" w:hAnsi="Times New Roman" w:cs="Times New Roman"/>
          <w:sz w:val="24"/>
          <w:szCs w:val="24"/>
        </w:rPr>
        <w:t xml:space="preserve"> distributional findings in a table, </w:t>
      </w:r>
      <w:r w:rsidR="00EB47F7">
        <w:rPr>
          <w:rFonts w:ascii="Times New Roman" w:hAnsi="Times New Roman" w:cs="Times New Roman"/>
          <w:sz w:val="24"/>
          <w:szCs w:val="24"/>
        </w:rPr>
        <w:t xml:space="preserve">with findings </w:t>
      </w:r>
      <w:r w:rsidR="00C21E93">
        <w:rPr>
          <w:rFonts w:ascii="Times New Roman" w:hAnsi="Times New Roman" w:cs="Times New Roman"/>
          <w:sz w:val="24"/>
          <w:szCs w:val="24"/>
        </w:rPr>
        <w:t xml:space="preserve">displayed in a bar chart in </w:t>
      </w:r>
      <w:r w:rsidR="003B3258">
        <w:rPr>
          <w:rFonts w:ascii="Times New Roman" w:hAnsi="Times New Roman" w:cs="Times New Roman"/>
          <w:sz w:val="24"/>
          <w:szCs w:val="24"/>
        </w:rPr>
        <w:t>the &lt;</w:t>
      </w:r>
      <w:proofErr w:type="spellStart"/>
      <w:r w:rsidR="003B3258">
        <w:rPr>
          <w:rFonts w:ascii="Times New Roman" w:hAnsi="Times New Roman" w:cs="Times New Roman"/>
          <w:sz w:val="24"/>
          <w:szCs w:val="24"/>
        </w:rPr>
        <w:t>Dist</w:t>
      </w:r>
      <w:proofErr w:type="spellEnd"/>
      <w:r w:rsidR="003B3258">
        <w:rPr>
          <w:rFonts w:ascii="Times New Roman" w:hAnsi="Times New Roman" w:cs="Times New Roman"/>
          <w:sz w:val="24"/>
          <w:szCs w:val="24"/>
        </w:rPr>
        <w:t xml:space="preserve"> Fig&gt; sheet</w:t>
      </w:r>
      <w:r w:rsidR="00D00B8A" w:rsidRPr="005D3BD6">
        <w:rPr>
          <w:rFonts w:ascii="Times New Roman" w:hAnsi="Times New Roman" w:cs="Times New Roman"/>
          <w:sz w:val="24"/>
          <w:szCs w:val="24"/>
        </w:rPr>
        <w:t>.</w:t>
      </w:r>
    </w:p>
    <w:p w14:paraId="523E1376" w14:textId="49372772" w:rsidR="00AA77D9" w:rsidRPr="00D00B8A" w:rsidRDefault="00AA77D9" w:rsidP="00AA77D9">
      <w:pPr>
        <w:pStyle w:val="Heading2"/>
        <w:spacing w:before="160" w:line="480" w:lineRule="auto"/>
        <w:contextualSpacing w:val="0"/>
        <w:rPr>
          <w:rFonts w:ascii="Times New Roman" w:hAnsi="Times New Roman" w:cs="Times New Roman"/>
          <w:b/>
          <w:sz w:val="24"/>
          <w:szCs w:val="24"/>
        </w:rPr>
      </w:pPr>
      <w:r>
        <w:rPr>
          <w:rFonts w:ascii="Times New Roman" w:hAnsi="Times New Roman" w:cs="Times New Roman"/>
          <w:b/>
          <w:sz w:val="24"/>
          <w:szCs w:val="24"/>
        </w:rPr>
        <w:t>Getting started – short version</w:t>
      </w:r>
    </w:p>
    <w:p w14:paraId="327D746E" w14:textId="62E313FE" w:rsidR="00AA77D9" w:rsidRDefault="00AA77D9" w:rsidP="00AA77D9">
      <w:pPr>
        <w:spacing w:line="480" w:lineRule="auto"/>
        <w:rPr>
          <w:rFonts w:ascii="Times New Roman" w:hAnsi="Times New Roman" w:cs="Times New Roman"/>
          <w:sz w:val="24"/>
          <w:szCs w:val="24"/>
        </w:rPr>
      </w:pPr>
      <w:r w:rsidRPr="005D3BD6">
        <w:rPr>
          <w:rFonts w:ascii="Times New Roman" w:hAnsi="Times New Roman" w:cs="Times New Roman"/>
          <w:sz w:val="24"/>
          <w:szCs w:val="24"/>
        </w:rPr>
        <w:t xml:space="preserve">Open the file </w:t>
      </w:r>
      <w:r>
        <w:rPr>
          <w:rFonts w:ascii="Times New Roman" w:hAnsi="Times New Roman" w:cs="Times New Roman"/>
          <w:sz w:val="24"/>
          <w:szCs w:val="24"/>
        </w:rPr>
        <w:t>‘</w:t>
      </w:r>
      <w:r w:rsidRPr="001D1EBD">
        <w:rPr>
          <w:rFonts w:ascii="Times New Roman" w:eastAsia="Times New Roman" w:hAnsi="Times New Roman"/>
          <w:bCs/>
          <w:i/>
          <w:color w:val="000000"/>
          <w:sz w:val="24"/>
          <w:szCs w:val="24"/>
          <w:lang w:eastAsia="en-GB"/>
        </w:rPr>
        <w:t>Ex 8 – short version’</w:t>
      </w:r>
      <w:r>
        <w:rPr>
          <w:rFonts w:ascii="Times New Roman" w:eastAsia="Times New Roman" w:hAnsi="Times New Roman"/>
          <w:bCs/>
          <w:iCs/>
          <w:color w:val="000000"/>
          <w:sz w:val="24"/>
          <w:szCs w:val="24"/>
          <w:lang w:eastAsia="en-GB"/>
        </w:rPr>
        <w:t>.</w:t>
      </w:r>
      <w:r>
        <w:rPr>
          <w:rFonts w:ascii="Times New Roman" w:hAnsi="Times New Roman" w:cs="Times New Roman"/>
          <w:i/>
          <w:sz w:val="24"/>
          <w:szCs w:val="24"/>
        </w:rPr>
        <w:t xml:space="preserve">  </w:t>
      </w:r>
      <w:r>
        <w:rPr>
          <w:rFonts w:ascii="Times New Roman" w:hAnsi="Times New Roman" w:cs="Times New Roman"/>
          <w:sz w:val="24"/>
          <w:szCs w:val="24"/>
        </w:rPr>
        <w:t xml:space="preserve">After the </w:t>
      </w:r>
      <w:r w:rsidRPr="005D3BD6">
        <w:rPr>
          <w:rFonts w:ascii="Times New Roman" w:hAnsi="Times New Roman" w:cs="Times New Roman"/>
          <w:sz w:val="24"/>
          <w:szCs w:val="24"/>
        </w:rPr>
        <w:t>&lt;</w:t>
      </w:r>
      <w:r>
        <w:rPr>
          <w:rFonts w:ascii="Times New Roman" w:hAnsi="Times New Roman" w:cs="Times New Roman"/>
          <w:sz w:val="24"/>
          <w:szCs w:val="24"/>
        </w:rPr>
        <w:t>Title Sheet</w:t>
      </w:r>
      <w:r w:rsidRPr="005D3BD6">
        <w:rPr>
          <w:rFonts w:ascii="Times New Roman" w:hAnsi="Times New Roman" w:cs="Times New Roman"/>
          <w:sz w:val="24"/>
          <w:szCs w:val="24"/>
        </w:rPr>
        <w:t>&gt;</w:t>
      </w:r>
      <w:r>
        <w:rPr>
          <w:rFonts w:ascii="Times New Roman" w:hAnsi="Times New Roman" w:cs="Times New Roman"/>
          <w:sz w:val="24"/>
          <w:szCs w:val="24"/>
        </w:rPr>
        <w:t xml:space="preserve">, the </w:t>
      </w:r>
      <w:r w:rsidRPr="005D3BD6">
        <w:rPr>
          <w:rFonts w:ascii="Times New Roman" w:hAnsi="Times New Roman" w:cs="Times New Roman"/>
          <w:sz w:val="24"/>
          <w:szCs w:val="24"/>
        </w:rPr>
        <w:t>&lt;Inputs</w:t>
      </w:r>
      <w:r>
        <w:rPr>
          <w:rFonts w:ascii="Times New Roman" w:hAnsi="Times New Roman" w:cs="Times New Roman"/>
          <w:sz w:val="24"/>
          <w:szCs w:val="24"/>
        </w:rPr>
        <w:t xml:space="preserve"> 1</w:t>
      </w:r>
      <w:r w:rsidRPr="005D3BD6">
        <w:rPr>
          <w:rFonts w:ascii="Times New Roman" w:hAnsi="Times New Roman" w:cs="Times New Roman"/>
          <w:sz w:val="24"/>
          <w:szCs w:val="24"/>
        </w:rPr>
        <w:t>&gt;</w:t>
      </w:r>
      <w:r>
        <w:rPr>
          <w:rFonts w:ascii="Times New Roman" w:hAnsi="Times New Roman" w:cs="Times New Roman"/>
          <w:sz w:val="24"/>
          <w:szCs w:val="24"/>
        </w:rPr>
        <w:t xml:space="preserve">, &lt;Inputs 2&gt; and &lt;Quit Calcs&gt; </w:t>
      </w:r>
      <w:r w:rsidRPr="005D3BD6">
        <w:rPr>
          <w:rFonts w:ascii="Times New Roman" w:hAnsi="Times New Roman" w:cs="Times New Roman"/>
          <w:sz w:val="24"/>
          <w:szCs w:val="24"/>
        </w:rPr>
        <w:t>worksheet</w:t>
      </w:r>
      <w:r>
        <w:rPr>
          <w:rFonts w:ascii="Times New Roman" w:hAnsi="Times New Roman" w:cs="Times New Roman"/>
          <w:sz w:val="24"/>
          <w:szCs w:val="24"/>
        </w:rPr>
        <w:t>s</w:t>
      </w:r>
      <w:r w:rsidRPr="005D3BD6">
        <w:rPr>
          <w:rFonts w:ascii="Times New Roman" w:hAnsi="Times New Roman" w:cs="Times New Roman"/>
          <w:sz w:val="24"/>
          <w:szCs w:val="24"/>
        </w:rPr>
        <w:t xml:space="preserve"> contain all the</w:t>
      </w:r>
      <w:r>
        <w:rPr>
          <w:rFonts w:ascii="Times New Roman" w:hAnsi="Times New Roman" w:cs="Times New Roman"/>
          <w:sz w:val="24"/>
          <w:szCs w:val="24"/>
        </w:rPr>
        <w:t xml:space="preserve"> input</w:t>
      </w:r>
      <w:r w:rsidRPr="005D3BD6">
        <w:rPr>
          <w:rFonts w:ascii="Times New Roman" w:hAnsi="Times New Roman" w:cs="Times New Roman"/>
          <w:sz w:val="24"/>
          <w:szCs w:val="24"/>
        </w:rPr>
        <w:t xml:space="preserve"> data require</w:t>
      </w:r>
      <w:r>
        <w:rPr>
          <w:rFonts w:ascii="Times New Roman" w:hAnsi="Times New Roman" w:cs="Times New Roman"/>
          <w:sz w:val="24"/>
          <w:szCs w:val="24"/>
        </w:rPr>
        <w:t>d.</w:t>
      </w:r>
    </w:p>
    <w:p w14:paraId="11E85C48" w14:textId="77777777" w:rsidR="00AA77D9" w:rsidRDefault="00AA77D9" w:rsidP="00AA77D9">
      <w:pPr>
        <w:spacing w:line="480" w:lineRule="auto"/>
        <w:rPr>
          <w:rFonts w:ascii="Times New Roman" w:hAnsi="Times New Roman" w:cs="Times New Roman"/>
          <w:sz w:val="24"/>
          <w:szCs w:val="24"/>
        </w:rPr>
      </w:pPr>
    </w:p>
    <w:p w14:paraId="1A28F21A" w14:textId="3CBE4579" w:rsidR="00AA77D9" w:rsidRDefault="00AA77D9" w:rsidP="00AA77D9">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Pr="005D3BD6">
        <w:rPr>
          <w:rFonts w:ascii="Times New Roman" w:hAnsi="Times New Roman" w:cs="Times New Roman"/>
          <w:sz w:val="24"/>
          <w:szCs w:val="24"/>
        </w:rPr>
        <w:t>&lt;</w:t>
      </w:r>
      <w:r>
        <w:rPr>
          <w:rFonts w:ascii="Times New Roman" w:hAnsi="Times New Roman" w:cs="Times New Roman"/>
          <w:sz w:val="24"/>
          <w:szCs w:val="24"/>
        </w:rPr>
        <w:t>Costs and Effects</w:t>
      </w:r>
      <w:r w:rsidRPr="005D3BD6">
        <w:rPr>
          <w:rFonts w:ascii="Times New Roman" w:hAnsi="Times New Roman" w:cs="Times New Roman"/>
          <w:sz w:val="24"/>
          <w:szCs w:val="24"/>
        </w:rPr>
        <w:t xml:space="preserve">&gt; sheet is </w:t>
      </w:r>
      <w:r>
        <w:rPr>
          <w:rFonts w:ascii="Times New Roman" w:hAnsi="Times New Roman" w:cs="Times New Roman"/>
          <w:sz w:val="24"/>
          <w:szCs w:val="24"/>
        </w:rPr>
        <w:t xml:space="preserve">your first task.  You will take data on long-term quit rates from the &lt;Quit Calcs&gt; sheet and </w:t>
      </w:r>
      <w:r w:rsidRPr="005D3BD6">
        <w:rPr>
          <w:rFonts w:ascii="Times New Roman" w:hAnsi="Times New Roman" w:cs="Times New Roman"/>
          <w:sz w:val="24"/>
          <w:szCs w:val="24"/>
        </w:rPr>
        <w:t>convert the</w:t>
      </w:r>
      <w:r>
        <w:rPr>
          <w:rFonts w:ascii="Times New Roman" w:hAnsi="Times New Roman" w:cs="Times New Roman"/>
          <w:sz w:val="24"/>
          <w:szCs w:val="24"/>
        </w:rPr>
        <w:t>m</w:t>
      </w:r>
      <w:r w:rsidRPr="005D3BD6">
        <w:rPr>
          <w:rFonts w:ascii="Times New Roman" w:hAnsi="Times New Roman" w:cs="Times New Roman"/>
          <w:sz w:val="24"/>
          <w:szCs w:val="24"/>
        </w:rPr>
        <w:t xml:space="preserve"> into long-term costs and health </w:t>
      </w:r>
      <w:r>
        <w:rPr>
          <w:rFonts w:ascii="Times New Roman" w:hAnsi="Times New Roman" w:cs="Times New Roman"/>
          <w:sz w:val="24"/>
          <w:szCs w:val="24"/>
        </w:rPr>
        <w:t>effects.  In the &lt;CEA&gt; sheet you will perform a standard cost-effectiveness analysis, with findings displayed in a cost-effectiveness plane.  In t</w:t>
      </w:r>
      <w:r w:rsidRPr="005D3BD6">
        <w:rPr>
          <w:rFonts w:ascii="Times New Roman" w:hAnsi="Times New Roman" w:cs="Times New Roman"/>
          <w:sz w:val="24"/>
          <w:szCs w:val="24"/>
        </w:rPr>
        <w:t>he &lt;</w:t>
      </w:r>
      <w:proofErr w:type="spellStart"/>
      <w:r>
        <w:rPr>
          <w:rFonts w:ascii="Times New Roman" w:hAnsi="Times New Roman" w:cs="Times New Roman"/>
          <w:sz w:val="24"/>
          <w:szCs w:val="24"/>
        </w:rPr>
        <w:t>Dist</w:t>
      </w:r>
      <w:proofErr w:type="spellEnd"/>
      <w:r>
        <w:rPr>
          <w:rFonts w:ascii="Times New Roman" w:hAnsi="Times New Roman" w:cs="Times New Roman"/>
          <w:sz w:val="24"/>
          <w:szCs w:val="24"/>
        </w:rPr>
        <w:t xml:space="preserve"> Table</w:t>
      </w:r>
      <w:r w:rsidRPr="005D3BD6">
        <w:rPr>
          <w:rFonts w:ascii="Times New Roman" w:hAnsi="Times New Roman" w:cs="Times New Roman"/>
          <w:sz w:val="24"/>
          <w:szCs w:val="24"/>
        </w:rPr>
        <w:t xml:space="preserve">&gt; sheet you will </w:t>
      </w:r>
      <w:proofErr w:type="spellStart"/>
      <w:r w:rsidRPr="005D3BD6">
        <w:rPr>
          <w:rFonts w:ascii="Times New Roman" w:hAnsi="Times New Roman" w:cs="Times New Roman"/>
          <w:sz w:val="24"/>
          <w:szCs w:val="24"/>
        </w:rPr>
        <w:t>summarise</w:t>
      </w:r>
      <w:proofErr w:type="spellEnd"/>
      <w:r w:rsidRPr="005D3BD6">
        <w:rPr>
          <w:rFonts w:ascii="Times New Roman" w:hAnsi="Times New Roman" w:cs="Times New Roman"/>
          <w:sz w:val="24"/>
          <w:szCs w:val="24"/>
        </w:rPr>
        <w:t xml:space="preserve"> the</w:t>
      </w:r>
      <w:r>
        <w:rPr>
          <w:rFonts w:ascii="Times New Roman" w:hAnsi="Times New Roman" w:cs="Times New Roman"/>
          <w:sz w:val="24"/>
          <w:szCs w:val="24"/>
        </w:rPr>
        <w:t xml:space="preserve"> distributional findings in a table, with findings displayed in a bar chart in the &lt;</w:t>
      </w:r>
      <w:proofErr w:type="spellStart"/>
      <w:r>
        <w:rPr>
          <w:rFonts w:ascii="Times New Roman" w:hAnsi="Times New Roman" w:cs="Times New Roman"/>
          <w:sz w:val="24"/>
          <w:szCs w:val="24"/>
        </w:rPr>
        <w:t>Dist</w:t>
      </w:r>
      <w:proofErr w:type="spellEnd"/>
      <w:r>
        <w:rPr>
          <w:rFonts w:ascii="Times New Roman" w:hAnsi="Times New Roman" w:cs="Times New Roman"/>
          <w:sz w:val="24"/>
          <w:szCs w:val="24"/>
        </w:rPr>
        <w:t xml:space="preserve"> Fig&gt; sheet</w:t>
      </w:r>
      <w:r w:rsidRPr="005D3BD6">
        <w:rPr>
          <w:rFonts w:ascii="Times New Roman" w:hAnsi="Times New Roman" w:cs="Times New Roman"/>
          <w:sz w:val="24"/>
          <w:szCs w:val="24"/>
        </w:rPr>
        <w:t>.</w:t>
      </w:r>
    </w:p>
    <w:p w14:paraId="2FDC8EE9" w14:textId="77777777" w:rsidR="00AA77D9" w:rsidRDefault="00AA77D9" w:rsidP="00AA77D9">
      <w:pPr>
        <w:spacing w:line="480" w:lineRule="auto"/>
        <w:rPr>
          <w:rFonts w:ascii="Times New Roman" w:hAnsi="Times New Roman" w:cs="Times New Roman"/>
          <w:b/>
          <w:sz w:val="24"/>
          <w:szCs w:val="24"/>
        </w:rPr>
      </w:pPr>
    </w:p>
    <w:p w14:paraId="0E4CEDD4" w14:textId="77777777" w:rsidR="00EB47F7" w:rsidRDefault="00EB47F7" w:rsidP="00D00B8A">
      <w:pPr>
        <w:spacing w:line="480" w:lineRule="auto"/>
        <w:rPr>
          <w:rFonts w:ascii="Times New Roman" w:hAnsi="Times New Roman" w:cs="Times New Roman"/>
          <w:b/>
          <w:sz w:val="24"/>
          <w:szCs w:val="24"/>
        </w:rPr>
      </w:pPr>
    </w:p>
    <w:p w14:paraId="69025BD8" w14:textId="77777777" w:rsidR="00AA77D9" w:rsidRDefault="00AA77D9">
      <w:pPr>
        <w:spacing w:after="160" w:line="259" w:lineRule="auto"/>
        <w:contextualSpacing w:val="0"/>
        <w:rPr>
          <w:rFonts w:ascii="Times New Roman" w:hAnsi="Times New Roman" w:cs="Times New Roman"/>
          <w:b/>
          <w:sz w:val="24"/>
          <w:szCs w:val="24"/>
        </w:rPr>
      </w:pPr>
      <w:r>
        <w:rPr>
          <w:rFonts w:ascii="Times New Roman" w:hAnsi="Times New Roman" w:cs="Times New Roman"/>
          <w:b/>
          <w:sz w:val="24"/>
          <w:szCs w:val="24"/>
        </w:rPr>
        <w:br w:type="page"/>
      </w:r>
    </w:p>
    <w:p w14:paraId="371DEE23" w14:textId="63F119F4" w:rsidR="00040EC0" w:rsidRDefault="00EB47F7" w:rsidP="00D00B8A">
      <w:pPr>
        <w:spacing w:line="480" w:lineRule="auto"/>
        <w:rPr>
          <w:rFonts w:ascii="Times New Roman" w:hAnsi="Times New Roman" w:cs="Times New Roman"/>
          <w:b/>
          <w:sz w:val="24"/>
          <w:szCs w:val="24"/>
        </w:rPr>
      </w:pPr>
      <w:r w:rsidRPr="00EB47F7">
        <w:rPr>
          <w:rFonts w:ascii="Times New Roman" w:hAnsi="Times New Roman" w:cs="Times New Roman"/>
          <w:b/>
          <w:sz w:val="24"/>
          <w:szCs w:val="24"/>
        </w:rPr>
        <w:lastRenderedPageBreak/>
        <w:t>Step-by-step instructions</w:t>
      </w:r>
    </w:p>
    <w:p w14:paraId="337D81CE" w14:textId="151AEC0A" w:rsidR="00AA77D9" w:rsidRPr="00EB47F7" w:rsidRDefault="00AA77D9" w:rsidP="00D00B8A">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NB For the Short Version please skip steps a) to c) and start at step d). </w:t>
      </w:r>
    </w:p>
    <w:p w14:paraId="5B764B4B" w14:textId="77777777" w:rsidR="00D00B8A" w:rsidRPr="00D00B8A" w:rsidRDefault="00D00B8A" w:rsidP="00D00B8A">
      <w:pPr>
        <w:pStyle w:val="ListParagraph"/>
        <w:numPr>
          <w:ilvl w:val="0"/>
          <w:numId w:val="9"/>
        </w:numPr>
        <w:spacing w:after="160" w:line="480" w:lineRule="auto"/>
        <w:rPr>
          <w:rFonts w:ascii="Times New Roman" w:hAnsi="Times New Roman" w:cs="Times New Roman"/>
          <w:b/>
          <w:sz w:val="24"/>
          <w:szCs w:val="24"/>
        </w:rPr>
      </w:pPr>
      <w:r w:rsidRPr="00D00B8A">
        <w:rPr>
          <w:rFonts w:ascii="Times New Roman" w:hAnsi="Times New Roman" w:cs="Times New Roman"/>
          <w:b/>
          <w:sz w:val="24"/>
          <w:szCs w:val="24"/>
        </w:rPr>
        <w:t>Deriving the baseline population</w:t>
      </w:r>
    </w:p>
    <w:p w14:paraId="64336A2A" w14:textId="7C26F477" w:rsidR="00D00B8A" w:rsidRPr="005D3BD6" w:rsidRDefault="003C3904" w:rsidP="00D00B8A">
      <w:pPr>
        <w:spacing w:line="480" w:lineRule="auto"/>
        <w:rPr>
          <w:rFonts w:ascii="Times New Roman" w:hAnsi="Times New Roman" w:cs="Times New Roman"/>
          <w:sz w:val="24"/>
          <w:szCs w:val="24"/>
        </w:rPr>
      </w:pPr>
      <w:r w:rsidRPr="003C3904">
        <w:rPr>
          <w:rFonts w:ascii="Times New Roman" w:hAnsi="Times New Roman" w:cs="Times New Roman"/>
          <w:sz w:val="24"/>
          <w:szCs w:val="24"/>
        </w:rPr>
        <w:t>Open the &lt;Quit calcs&gt; worksheet to begin the exercise.</w:t>
      </w:r>
      <w:r>
        <w:rPr>
          <w:rFonts w:ascii="Times New Roman" w:hAnsi="Times New Roman" w:cs="Times New Roman"/>
          <w:sz w:val="24"/>
          <w:szCs w:val="24"/>
        </w:rPr>
        <w:t xml:space="preserve">  </w:t>
      </w:r>
      <w:r w:rsidR="00EB47F7">
        <w:rPr>
          <w:rFonts w:ascii="Times New Roman" w:hAnsi="Times New Roman" w:cs="Times New Roman"/>
          <w:sz w:val="24"/>
          <w:szCs w:val="24"/>
        </w:rPr>
        <w:t xml:space="preserve">You will see three (incomplete) tables of output data, one for each </w:t>
      </w:r>
      <w:proofErr w:type="spellStart"/>
      <w:r w:rsidR="00EB47F7">
        <w:rPr>
          <w:rFonts w:ascii="Times New Roman" w:hAnsi="Times New Roman" w:cs="Times New Roman"/>
          <w:sz w:val="24"/>
          <w:szCs w:val="24"/>
        </w:rPr>
        <w:t>programme</w:t>
      </w:r>
      <w:proofErr w:type="spellEnd"/>
      <w:r w:rsidR="00EB47F7">
        <w:rPr>
          <w:rFonts w:ascii="Times New Roman" w:hAnsi="Times New Roman" w:cs="Times New Roman"/>
          <w:sz w:val="24"/>
          <w:szCs w:val="24"/>
        </w:rPr>
        <w:t xml:space="preserve"> option.</w:t>
      </w:r>
      <w:r w:rsidR="00117573">
        <w:rPr>
          <w:rFonts w:ascii="Times New Roman" w:hAnsi="Times New Roman" w:cs="Times New Roman"/>
          <w:sz w:val="24"/>
          <w:szCs w:val="24"/>
        </w:rPr>
        <w:t xml:space="preserve">  </w:t>
      </w:r>
      <w:r>
        <w:rPr>
          <w:rFonts w:ascii="Times New Roman" w:hAnsi="Times New Roman" w:cs="Times New Roman"/>
          <w:sz w:val="24"/>
          <w:szCs w:val="24"/>
        </w:rPr>
        <w:t xml:space="preserve">Your first task is </w:t>
      </w:r>
      <w:proofErr w:type="gramStart"/>
      <w:r w:rsidR="00D00B8A" w:rsidRPr="005D3BD6">
        <w:rPr>
          <w:rFonts w:ascii="Times New Roman" w:hAnsi="Times New Roman" w:cs="Times New Roman"/>
          <w:sz w:val="24"/>
          <w:szCs w:val="24"/>
        </w:rPr>
        <w:t>establish</w:t>
      </w:r>
      <w:proofErr w:type="gramEnd"/>
      <w:r w:rsidR="00D00B8A" w:rsidRPr="005D3BD6">
        <w:rPr>
          <w:rFonts w:ascii="Times New Roman" w:hAnsi="Times New Roman" w:cs="Times New Roman"/>
          <w:sz w:val="24"/>
          <w:szCs w:val="24"/>
        </w:rPr>
        <w:t xml:space="preserve"> the size of the population who stand to benefit – i.e. current smokers who are attempting to quit. Use the population data from the &lt;Inputs</w:t>
      </w:r>
      <w:r w:rsidR="00631560">
        <w:rPr>
          <w:rFonts w:ascii="Times New Roman" w:hAnsi="Times New Roman" w:cs="Times New Roman"/>
          <w:sz w:val="24"/>
          <w:szCs w:val="24"/>
        </w:rPr>
        <w:t xml:space="preserve"> 1</w:t>
      </w:r>
      <w:r w:rsidR="00D00B8A" w:rsidRPr="005D3BD6">
        <w:rPr>
          <w:rFonts w:ascii="Times New Roman" w:hAnsi="Times New Roman" w:cs="Times New Roman"/>
          <w:sz w:val="24"/>
          <w:szCs w:val="24"/>
        </w:rPr>
        <w:t xml:space="preserve">&gt; sheet to populate the ‘Adult population’ and ‘Smokers’ columns </w:t>
      </w:r>
      <w:r w:rsidR="00117573">
        <w:rPr>
          <w:rFonts w:ascii="Times New Roman" w:hAnsi="Times New Roman" w:cs="Times New Roman"/>
          <w:sz w:val="24"/>
          <w:szCs w:val="24"/>
        </w:rPr>
        <w:t>for the ‘</w:t>
      </w:r>
      <w:proofErr w:type="spellStart"/>
      <w:r w:rsidR="00117573">
        <w:rPr>
          <w:rFonts w:ascii="Times New Roman" w:hAnsi="Times New Roman" w:cs="Times New Roman"/>
          <w:sz w:val="24"/>
          <w:szCs w:val="24"/>
        </w:rPr>
        <w:t>Programme</w:t>
      </w:r>
      <w:proofErr w:type="spellEnd"/>
      <w:r w:rsidR="00117573">
        <w:rPr>
          <w:rFonts w:ascii="Times New Roman" w:hAnsi="Times New Roman" w:cs="Times New Roman"/>
          <w:sz w:val="24"/>
          <w:szCs w:val="24"/>
        </w:rPr>
        <w:t xml:space="preserve"> 1: No NRT’ option</w:t>
      </w:r>
      <w:r w:rsidR="00D00B8A" w:rsidRPr="005D3BD6">
        <w:rPr>
          <w:rFonts w:ascii="Times New Roman" w:hAnsi="Times New Roman" w:cs="Times New Roman"/>
          <w:sz w:val="24"/>
          <w:szCs w:val="24"/>
        </w:rPr>
        <w:t>. The cells that you should populate for this part, B</w:t>
      </w:r>
      <w:r w:rsidR="002454BB">
        <w:rPr>
          <w:rFonts w:ascii="Times New Roman" w:hAnsi="Times New Roman" w:cs="Times New Roman"/>
          <w:sz w:val="24"/>
          <w:szCs w:val="24"/>
        </w:rPr>
        <w:t>5</w:t>
      </w:r>
      <w:r w:rsidR="00D00B8A" w:rsidRPr="005D3BD6">
        <w:rPr>
          <w:rFonts w:ascii="Times New Roman" w:hAnsi="Times New Roman" w:cs="Times New Roman"/>
          <w:sz w:val="24"/>
          <w:szCs w:val="24"/>
        </w:rPr>
        <w:t>:C</w:t>
      </w:r>
      <w:r w:rsidR="002454BB">
        <w:rPr>
          <w:rFonts w:ascii="Times New Roman" w:hAnsi="Times New Roman" w:cs="Times New Roman"/>
          <w:sz w:val="24"/>
          <w:szCs w:val="24"/>
        </w:rPr>
        <w:t>16</w:t>
      </w:r>
      <w:r w:rsidR="00D00B8A" w:rsidRPr="005D3BD6">
        <w:rPr>
          <w:rFonts w:ascii="Times New Roman" w:hAnsi="Times New Roman" w:cs="Times New Roman"/>
          <w:sz w:val="24"/>
          <w:szCs w:val="24"/>
        </w:rPr>
        <w:t xml:space="preserve">, are shaded orange. Once populated, these </w:t>
      </w:r>
      <w:r w:rsidR="002454BB">
        <w:rPr>
          <w:rFonts w:ascii="Times New Roman" w:hAnsi="Times New Roman" w:cs="Times New Roman"/>
          <w:sz w:val="24"/>
          <w:szCs w:val="24"/>
        </w:rPr>
        <w:t xml:space="preserve">orange </w:t>
      </w:r>
      <w:r w:rsidR="00D00B8A" w:rsidRPr="005D3BD6">
        <w:rPr>
          <w:rFonts w:ascii="Times New Roman" w:hAnsi="Times New Roman" w:cs="Times New Roman"/>
          <w:sz w:val="24"/>
          <w:szCs w:val="24"/>
        </w:rPr>
        <w:t>cells should now show the total number of smokers in England in each of the 10 socioeconomic groups. Once you have</w:t>
      </w:r>
      <w:r w:rsidR="002454BB">
        <w:rPr>
          <w:rFonts w:ascii="Times New Roman" w:hAnsi="Times New Roman" w:cs="Times New Roman"/>
          <w:sz w:val="24"/>
          <w:szCs w:val="24"/>
        </w:rPr>
        <w:t xml:space="preserve"> done this</w:t>
      </w:r>
      <w:r w:rsidR="00D00B8A" w:rsidRPr="005D3BD6">
        <w:rPr>
          <w:rFonts w:ascii="Times New Roman" w:hAnsi="Times New Roman" w:cs="Times New Roman"/>
          <w:sz w:val="24"/>
          <w:szCs w:val="24"/>
        </w:rPr>
        <w:t xml:space="preserve">, you will see that the corresponding </w:t>
      </w:r>
      <w:r w:rsidR="002454BB">
        <w:rPr>
          <w:rFonts w:ascii="Times New Roman" w:hAnsi="Times New Roman" w:cs="Times New Roman"/>
          <w:sz w:val="24"/>
          <w:szCs w:val="24"/>
        </w:rPr>
        <w:t xml:space="preserve">grey </w:t>
      </w:r>
      <w:r w:rsidR="00D00B8A" w:rsidRPr="005D3BD6">
        <w:rPr>
          <w:rFonts w:ascii="Times New Roman" w:hAnsi="Times New Roman" w:cs="Times New Roman"/>
          <w:sz w:val="24"/>
          <w:szCs w:val="24"/>
        </w:rPr>
        <w:t xml:space="preserve">cells </w:t>
      </w:r>
      <w:r w:rsidR="00117573">
        <w:rPr>
          <w:rFonts w:ascii="Times New Roman" w:hAnsi="Times New Roman" w:cs="Times New Roman"/>
          <w:sz w:val="24"/>
          <w:szCs w:val="24"/>
        </w:rPr>
        <w:t xml:space="preserve">in the data tables for </w:t>
      </w:r>
      <w:r w:rsidR="00D00B8A" w:rsidRPr="005D3BD6">
        <w:rPr>
          <w:rFonts w:ascii="Times New Roman" w:hAnsi="Times New Roman" w:cs="Times New Roman"/>
          <w:sz w:val="24"/>
          <w:szCs w:val="24"/>
        </w:rPr>
        <w:t xml:space="preserve">the </w:t>
      </w:r>
      <w:r w:rsidR="002454BB">
        <w:rPr>
          <w:rFonts w:ascii="Times New Roman" w:hAnsi="Times New Roman" w:cs="Times New Roman"/>
          <w:sz w:val="24"/>
          <w:szCs w:val="24"/>
        </w:rPr>
        <w:t xml:space="preserve">other 2 options below </w:t>
      </w:r>
      <w:r w:rsidR="00D00B8A" w:rsidRPr="005D3BD6">
        <w:rPr>
          <w:rFonts w:ascii="Times New Roman" w:hAnsi="Times New Roman" w:cs="Times New Roman"/>
          <w:sz w:val="24"/>
          <w:szCs w:val="24"/>
        </w:rPr>
        <w:t xml:space="preserve">have automatically updated </w:t>
      </w:r>
      <w:r w:rsidR="002454BB">
        <w:rPr>
          <w:rFonts w:ascii="Times New Roman" w:hAnsi="Times New Roman" w:cs="Times New Roman"/>
          <w:sz w:val="24"/>
          <w:szCs w:val="24"/>
        </w:rPr>
        <w:t>with the same values</w:t>
      </w:r>
      <w:r w:rsidR="00D00B8A" w:rsidRPr="005D3BD6">
        <w:rPr>
          <w:rFonts w:ascii="Times New Roman" w:hAnsi="Times New Roman" w:cs="Times New Roman"/>
          <w:sz w:val="24"/>
          <w:szCs w:val="24"/>
        </w:rPr>
        <w:t>. Next, use the data on the proportion of smokers who attempted to quit in the past year to populate the total number of quit attempts (in a year) in the &lt;Quit Calcs&gt; sheet cells D</w:t>
      </w:r>
      <w:r w:rsidR="002454BB">
        <w:rPr>
          <w:rFonts w:ascii="Times New Roman" w:hAnsi="Times New Roman" w:cs="Times New Roman"/>
          <w:sz w:val="24"/>
          <w:szCs w:val="24"/>
        </w:rPr>
        <w:t>5</w:t>
      </w:r>
      <w:r w:rsidR="00D00B8A" w:rsidRPr="005D3BD6">
        <w:rPr>
          <w:rFonts w:ascii="Times New Roman" w:hAnsi="Times New Roman" w:cs="Times New Roman"/>
          <w:sz w:val="24"/>
          <w:szCs w:val="24"/>
        </w:rPr>
        <w:t>:D</w:t>
      </w:r>
      <w:r w:rsidR="002454BB">
        <w:rPr>
          <w:rFonts w:ascii="Times New Roman" w:hAnsi="Times New Roman" w:cs="Times New Roman"/>
          <w:sz w:val="24"/>
          <w:szCs w:val="24"/>
        </w:rPr>
        <w:t>16</w:t>
      </w:r>
      <w:r w:rsidR="00D00B8A" w:rsidRPr="005D3BD6">
        <w:rPr>
          <w:rFonts w:ascii="Times New Roman" w:hAnsi="Times New Roman" w:cs="Times New Roman"/>
          <w:sz w:val="24"/>
          <w:szCs w:val="24"/>
        </w:rPr>
        <w:t xml:space="preserve">. Again, this is constant across all </w:t>
      </w:r>
      <w:r w:rsidR="002454BB">
        <w:rPr>
          <w:rFonts w:ascii="Times New Roman" w:hAnsi="Times New Roman" w:cs="Times New Roman"/>
          <w:sz w:val="24"/>
          <w:szCs w:val="24"/>
        </w:rPr>
        <w:t>options.</w:t>
      </w:r>
    </w:p>
    <w:p w14:paraId="237CB902" w14:textId="77777777" w:rsidR="00D00B8A" w:rsidRPr="00D00B8A" w:rsidRDefault="00D00B8A" w:rsidP="00D00B8A">
      <w:pPr>
        <w:pStyle w:val="ListParagraph"/>
        <w:numPr>
          <w:ilvl w:val="0"/>
          <w:numId w:val="9"/>
        </w:numPr>
        <w:spacing w:after="160" w:line="480" w:lineRule="auto"/>
        <w:rPr>
          <w:rFonts w:ascii="Times New Roman" w:hAnsi="Times New Roman" w:cs="Times New Roman"/>
          <w:b/>
          <w:sz w:val="24"/>
          <w:szCs w:val="24"/>
        </w:rPr>
      </w:pPr>
      <w:r w:rsidRPr="00D00B8A">
        <w:rPr>
          <w:rFonts w:ascii="Times New Roman" w:hAnsi="Times New Roman" w:cs="Times New Roman"/>
          <w:b/>
          <w:sz w:val="24"/>
          <w:szCs w:val="24"/>
        </w:rPr>
        <w:t>Estimating NRT usage</w:t>
      </w:r>
    </w:p>
    <w:p w14:paraId="02D23CD9" w14:textId="4C01E97B" w:rsidR="00D00B8A" w:rsidRPr="005D3BD6" w:rsidRDefault="00EB47F7" w:rsidP="00D00B8A">
      <w:pPr>
        <w:spacing w:line="480" w:lineRule="auto"/>
        <w:rPr>
          <w:rFonts w:ascii="Times New Roman" w:hAnsi="Times New Roman" w:cs="Times New Roman"/>
          <w:sz w:val="24"/>
          <w:szCs w:val="24"/>
        </w:rPr>
      </w:pPr>
      <w:r>
        <w:rPr>
          <w:rFonts w:ascii="Times New Roman" w:hAnsi="Times New Roman" w:cs="Times New Roman"/>
          <w:sz w:val="24"/>
          <w:szCs w:val="24"/>
        </w:rPr>
        <w:t xml:space="preserve">Unlike the baseline populations, </w:t>
      </w:r>
      <w:r w:rsidR="00D00B8A" w:rsidRPr="005D3BD6">
        <w:rPr>
          <w:rFonts w:ascii="Times New Roman" w:hAnsi="Times New Roman" w:cs="Times New Roman"/>
          <w:sz w:val="24"/>
          <w:szCs w:val="24"/>
        </w:rPr>
        <w:t>NRT usage will differ</w:t>
      </w:r>
      <w:r>
        <w:rPr>
          <w:rFonts w:ascii="Times New Roman" w:hAnsi="Times New Roman" w:cs="Times New Roman"/>
          <w:sz w:val="24"/>
          <w:szCs w:val="24"/>
        </w:rPr>
        <w:t xml:space="preserve"> between the three options</w:t>
      </w:r>
      <w:r w:rsidR="00D00B8A" w:rsidRPr="005D3BD6">
        <w:rPr>
          <w:rFonts w:ascii="Times New Roman" w:hAnsi="Times New Roman" w:cs="Times New Roman"/>
          <w:sz w:val="24"/>
          <w:szCs w:val="24"/>
        </w:rPr>
        <w:t xml:space="preserve">. We need to think carefully about how to use the data </w:t>
      </w:r>
      <w:r w:rsidR="002454BB">
        <w:rPr>
          <w:rFonts w:ascii="Times New Roman" w:hAnsi="Times New Roman" w:cs="Times New Roman"/>
          <w:sz w:val="24"/>
          <w:szCs w:val="24"/>
        </w:rPr>
        <w:t xml:space="preserve">on NRT usage </w:t>
      </w:r>
      <w:r w:rsidR="00D00B8A" w:rsidRPr="005D3BD6">
        <w:rPr>
          <w:rFonts w:ascii="Times New Roman" w:hAnsi="Times New Roman" w:cs="Times New Roman"/>
          <w:sz w:val="24"/>
          <w:szCs w:val="24"/>
        </w:rPr>
        <w:t>from the &lt;</w:t>
      </w:r>
      <w:r w:rsidR="002454BB">
        <w:rPr>
          <w:rFonts w:ascii="Times New Roman" w:hAnsi="Times New Roman" w:cs="Times New Roman"/>
          <w:sz w:val="24"/>
          <w:szCs w:val="24"/>
        </w:rPr>
        <w:t>I</w:t>
      </w:r>
      <w:r w:rsidR="00D00B8A" w:rsidRPr="005D3BD6">
        <w:rPr>
          <w:rFonts w:ascii="Times New Roman" w:hAnsi="Times New Roman" w:cs="Times New Roman"/>
          <w:sz w:val="24"/>
          <w:szCs w:val="24"/>
        </w:rPr>
        <w:t>nputs</w:t>
      </w:r>
      <w:r w:rsidR="002454BB">
        <w:rPr>
          <w:rFonts w:ascii="Times New Roman" w:hAnsi="Times New Roman" w:cs="Times New Roman"/>
          <w:sz w:val="24"/>
          <w:szCs w:val="24"/>
        </w:rPr>
        <w:t xml:space="preserve"> 1</w:t>
      </w:r>
      <w:r w:rsidR="00D00B8A" w:rsidRPr="005D3BD6">
        <w:rPr>
          <w:rFonts w:ascii="Times New Roman" w:hAnsi="Times New Roman" w:cs="Times New Roman"/>
          <w:sz w:val="24"/>
          <w:szCs w:val="24"/>
        </w:rPr>
        <w:t>&gt; worksheet to populate the cells in columns E, F, G and H.</w:t>
      </w:r>
    </w:p>
    <w:p w14:paraId="5675105F" w14:textId="49FCFE7B" w:rsidR="00D00B8A" w:rsidRPr="005D3BD6" w:rsidRDefault="00EB47F7" w:rsidP="00D00B8A">
      <w:pPr>
        <w:pStyle w:val="ListParagraph"/>
        <w:numPr>
          <w:ilvl w:val="0"/>
          <w:numId w:val="11"/>
        </w:numPr>
        <w:spacing w:after="160" w:line="480" w:lineRule="auto"/>
        <w:rPr>
          <w:rFonts w:ascii="Times New Roman" w:hAnsi="Times New Roman" w:cs="Times New Roman"/>
          <w:sz w:val="24"/>
          <w:szCs w:val="24"/>
        </w:rPr>
      </w:pPr>
      <w:r>
        <w:rPr>
          <w:rFonts w:ascii="Times New Roman" w:hAnsi="Times New Roman" w:cs="Times New Roman"/>
          <w:sz w:val="24"/>
          <w:szCs w:val="24"/>
        </w:rPr>
        <w:t>Universal NRT</w:t>
      </w:r>
    </w:p>
    <w:p w14:paraId="6401E78D" w14:textId="117523D9" w:rsidR="00D00B8A" w:rsidRPr="005D3BD6" w:rsidRDefault="00D00B8A" w:rsidP="00D00B8A">
      <w:pPr>
        <w:spacing w:line="480" w:lineRule="auto"/>
        <w:rPr>
          <w:rFonts w:ascii="Times New Roman" w:hAnsi="Times New Roman" w:cs="Times New Roman"/>
          <w:sz w:val="24"/>
          <w:szCs w:val="24"/>
        </w:rPr>
      </w:pPr>
      <w:r w:rsidRPr="005D3BD6">
        <w:rPr>
          <w:rFonts w:ascii="Times New Roman" w:hAnsi="Times New Roman" w:cs="Times New Roman"/>
          <w:sz w:val="24"/>
          <w:szCs w:val="24"/>
        </w:rPr>
        <w:t>The data on public/private NRT usage in the &lt;Inputs</w:t>
      </w:r>
      <w:r w:rsidR="002454BB">
        <w:rPr>
          <w:rFonts w:ascii="Times New Roman" w:hAnsi="Times New Roman" w:cs="Times New Roman"/>
          <w:sz w:val="24"/>
          <w:szCs w:val="24"/>
        </w:rPr>
        <w:t xml:space="preserve"> 1</w:t>
      </w:r>
      <w:r w:rsidRPr="005D3BD6">
        <w:rPr>
          <w:rFonts w:ascii="Times New Roman" w:hAnsi="Times New Roman" w:cs="Times New Roman"/>
          <w:sz w:val="24"/>
          <w:szCs w:val="24"/>
        </w:rPr>
        <w:t xml:space="preserve">&gt; sheet relates to a </w:t>
      </w:r>
      <w:r w:rsidR="002454BB">
        <w:rPr>
          <w:rFonts w:ascii="Times New Roman" w:hAnsi="Times New Roman" w:cs="Times New Roman"/>
          <w:sz w:val="24"/>
          <w:szCs w:val="24"/>
        </w:rPr>
        <w:t>time</w:t>
      </w:r>
      <w:r w:rsidRPr="005D3BD6">
        <w:rPr>
          <w:rFonts w:ascii="Times New Roman" w:hAnsi="Times New Roman" w:cs="Times New Roman"/>
          <w:sz w:val="24"/>
          <w:szCs w:val="24"/>
        </w:rPr>
        <w:t xml:space="preserve"> in 2010 when NRT was available </w:t>
      </w:r>
      <w:r w:rsidR="002454BB">
        <w:rPr>
          <w:rFonts w:ascii="Times New Roman" w:hAnsi="Times New Roman" w:cs="Times New Roman"/>
          <w:sz w:val="24"/>
          <w:szCs w:val="24"/>
        </w:rPr>
        <w:t xml:space="preserve">publicly for free </w:t>
      </w:r>
      <w:r w:rsidRPr="005D3BD6">
        <w:rPr>
          <w:rFonts w:ascii="Times New Roman" w:hAnsi="Times New Roman" w:cs="Times New Roman"/>
          <w:sz w:val="24"/>
          <w:szCs w:val="24"/>
        </w:rPr>
        <w:t>on prescription</w:t>
      </w:r>
      <w:r w:rsidR="00117573">
        <w:rPr>
          <w:rFonts w:ascii="Times New Roman" w:hAnsi="Times New Roman" w:cs="Times New Roman"/>
          <w:sz w:val="24"/>
          <w:szCs w:val="24"/>
        </w:rPr>
        <w:t xml:space="preserve">, </w:t>
      </w:r>
      <w:r w:rsidRPr="005D3BD6">
        <w:rPr>
          <w:rFonts w:ascii="Times New Roman" w:hAnsi="Times New Roman" w:cs="Times New Roman"/>
          <w:sz w:val="24"/>
          <w:szCs w:val="24"/>
        </w:rPr>
        <w:t>a</w:t>
      </w:r>
      <w:r w:rsidR="00117573">
        <w:rPr>
          <w:rFonts w:ascii="Times New Roman" w:hAnsi="Times New Roman" w:cs="Times New Roman"/>
          <w:sz w:val="24"/>
          <w:szCs w:val="24"/>
        </w:rPr>
        <w:t xml:space="preserve">s well as </w:t>
      </w:r>
      <w:r w:rsidR="002454BB">
        <w:rPr>
          <w:rFonts w:ascii="Times New Roman" w:hAnsi="Times New Roman" w:cs="Times New Roman"/>
          <w:sz w:val="24"/>
          <w:szCs w:val="24"/>
        </w:rPr>
        <w:t xml:space="preserve">privately </w:t>
      </w:r>
      <w:r w:rsidRPr="005D3BD6">
        <w:rPr>
          <w:rFonts w:ascii="Times New Roman" w:hAnsi="Times New Roman" w:cs="Times New Roman"/>
          <w:sz w:val="24"/>
          <w:szCs w:val="24"/>
        </w:rPr>
        <w:t>over the counter</w:t>
      </w:r>
      <w:r w:rsidR="002454BB">
        <w:rPr>
          <w:rFonts w:ascii="Times New Roman" w:hAnsi="Times New Roman" w:cs="Times New Roman"/>
          <w:sz w:val="24"/>
          <w:szCs w:val="24"/>
        </w:rPr>
        <w:t>;</w:t>
      </w:r>
      <w:r w:rsidRPr="005D3BD6">
        <w:rPr>
          <w:rFonts w:ascii="Times New Roman" w:hAnsi="Times New Roman" w:cs="Times New Roman"/>
          <w:sz w:val="24"/>
          <w:szCs w:val="24"/>
        </w:rPr>
        <w:t xml:space="preserve"> which is equivalent to </w:t>
      </w:r>
      <w:r w:rsidR="00117573">
        <w:rPr>
          <w:rFonts w:ascii="Times New Roman" w:hAnsi="Times New Roman" w:cs="Times New Roman"/>
          <w:sz w:val="24"/>
          <w:szCs w:val="24"/>
        </w:rPr>
        <w:t>‘</w:t>
      </w:r>
      <w:proofErr w:type="spellStart"/>
      <w:r w:rsidR="00117573">
        <w:rPr>
          <w:rFonts w:ascii="Times New Roman" w:hAnsi="Times New Roman" w:cs="Times New Roman"/>
          <w:sz w:val="24"/>
          <w:szCs w:val="24"/>
        </w:rPr>
        <w:t>Programme</w:t>
      </w:r>
      <w:proofErr w:type="spellEnd"/>
      <w:r w:rsidRPr="005D3BD6">
        <w:rPr>
          <w:rFonts w:ascii="Times New Roman" w:hAnsi="Times New Roman" w:cs="Times New Roman"/>
          <w:sz w:val="24"/>
          <w:szCs w:val="24"/>
        </w:rPr>
        <w:t xml:space="preserve"> 2</w:t>
      </w:r>
      <w:r w:rsidR="00117573">
        <w:rPr>
          <w:rFonts w:ascii="Times New Roman" w:hAnsi="Times New Roman" w:cs="Times New Roman"/>
          <w:sz w:val="24"/>
          <w:szCs w:val="24"/>
        </w:rPr>
        <w:t>: Universal NRT’</w:t>
      </w:r>
      <w:r w:rsidRPr="005D3BD6">
        <w:rPr>
          <w:rFonts w:ascii="Times New Roman" w:hAnsi="Times New Roman" w:cs="Times New Roman"/>
          <w:sz w:val="24"/>
          <w:szCs w:val="24"/>
        </w:rPr>
        <w:t xml:space="preserve">. Therefore, for this </w:t>
      </w:r>
      <w:proofErr w:type="spellStart"/>
      <w:r w:rsidR="00117573">
        <w:rPr>
          <w:rFonts w:ascii="Times New Roman" w:hAnsi="Times New Roman" w:cs="Times New Roman"/>
          <w:sz w:val="24"/>
          <w:szCs w:val="24"/>
        </w:rPr>
        <w:t>programme</w:t>
      </w:r>
      <w:proofErr w:type="spellEnd"/>
      <w:r w:rsidR="002454BB">
        <w:rPr>
          <w:rFonts w:ascii="Times New Roman" w:hAnsi="Times New Roman" w:cs="Times New Roman"/>
          <w:sz w:val="24"/>
          <w:szCs w:val="24"/>
        </w:rPr>
        <w:t xml:space="preserve"> </w:t>
      </w:r>
      <w:r w:rsidRPr="005D3BD6">
        <w:rPr>
          <w:rFonts w:ascii="Times New Roman" w:hAnsi="Times New Roman" w:cs="Times New Roman"/>
          <w:sz w:val="24"/>
          <w:szCs w:val="24"/>
        </w:rPr>
        <w:t xml:space="preserve">only: starting in the ‘Total NRT quit attempts’ column (column G), and using the data for the use </w:t>
      </w:r>
      <w:r w:rsidRPr="005D3BD6">
        <w:rPr>
          <w:rFonts w:ascii="Times New Roman" w:hAnsi="Times New Roman" w:cs="Times New Roman"/>
          <w:sz w:val="24"/>
          <w:szCs w:val="24"/>
        </w:rPr>
        <w:lastRenderedPageBreak/>
        <w:t>of NRT in the last quit attempt, calculate the total number of those quit attempts which used NRT (column G), and then use the provided data on the proportion of NRT usage</w:t>
      </w:r>
      <w:r w:rsidR="00117573">
        <w:rPr>
          <w:rFonts w:ascii="Times New Roman" w:hAnsi="Times New Roman" w:cs="Times New Roman"/>
          <w:sz w:val="24"/>
          <w:szCs w:val="24"/>
        </w:rPr>
        <w:t xml:space="preserve"> </w:t>
      </w:r>
      <w:r w:rsidRPr="005D3BD6">
        <w:rPr>
          <w:rFonts w:ascii="Times New Roman" w:hAnsi="Times New Roman" w:cs="Times New Roman"/>
          <w:sz w:val="24"/>
          <w:szCs w:val="24"/>
        </w:rPr>
        <w:t xml:space="preserve">on prescription to partition these attempts between prescribed (column E) and over the counter NRT (column F). Finally, calculate the number of non-NRT quit attempts (column H). The remaining parts in b) relate to estimating these quantities for </w:t>
      </w:r>
      <w:proofErr w:type="spellStart"/>
      <w:r w:rsidR="00117573">
        <w:rPr>
          <w:rFonts w:ascii="Times New Roman" w:hAnsi="Times New Roman" w:cs="Times New Roman"/>
          <w:sz w:val="24"/>
          <w:szCs w:val="24"/>
        </w:rPr>
        <w:t>programmes</w:t>
      </w:r>
      <w:proofErr w:type="spellEnd"/>
      <w:r w:rsidRPr="005D3BD6">
        <w:rPr>
          <w:rFonts w:ascii="Times New Roman" w:hAnsi="Times New Roman" w:cs="Times New Roman"/>
          <w:sz w:val="24"/>
          <w:szCs w:val="24"/>
        </w:rPr>
        <w:t xml:space="preserve"> 1 and 3.</w:t>
      </w:r>
    </w:p>
    <w:p w14:paraId="381CF14D" w14:textId="77777777" w:rsidR="00D00B8A" w:rsidRPr="005D3BD6" w:rsidRDefault="00D00B8A" w:rsidP="00D00B8A">
      <w:pPr>
        <w:pStyle w:val="ListParagraph"/>
        <w:numPr>
          <w:ilvl w:val="0"/>
          <w:numId w:val="11"/>
        </w:numPr>
        <w:spacing w:after="160" w:line="480" w:lineRule="auto"/>
        <w:rPr>
          <w:rFonts w:ascii="Times New Roman" w:hAnsi="Times New Roman" w:cs="Times New Roman"/>
          <w:sz w:val="24"/>
          <w:szCs w:val="24"/>
        </w:rPr>
      </w:pPr>
      <w:r w:rsidRPr="005D3BD6">
        <w:rPr>
          <w:rFonts w:ascii="Times New Roman" w:hAnsi="Times New Roman" w:cs="Times New Roman"/>
          <w:sz w:val="24"/>
          <w:szCs w:val="24"/>
        </w:rPr>
        <w:t>Over the counter NRT</w:t>
      </w:r>
    </w:p>
    <w:p w14:paraId="4961F216" w14:textId="0FE70044" w:rsidR="00D00B8A" w:rsidRPr="005D3BD6" w:rsidRDefault="00D00B8A" w:rsidP="00D00B8A">
      <w:pPr>
        <w:spacing w:line="480" w:lineRule="auto"/>
        <w:rPr>
          <w:rFonts w:ascii="Times New Roman" w:hAnsi="Times New Roman" w:cs="Times New Roman"/>
          <w:sz w:val="24"/>
          <w:szCs w:val="24"/>
        </w:rPr>
      </w:pPr>
      <w:r w:rsidRPr="005D3BD6">
        <w:rPr>
          <w:rFonts w:ascii="Times New Roman" w:hAnsi="Times New Roman" w:cs="Times New Roman"/>
          <w:sz w:val="24"/>
          <w:szCs w:val="24"/>
        </w:rPr>
        <w:t xml:space="preserve">For </w:t>
      </w:r>
      <w:proofErr w:type="spellStart"/>
      <w:r w:rsidR="00117573">
        <w:rPr>
          <w:rFonts w:ascii="Times New Roman" w:hAnsi="Times New Roman" w:cs="Times New Roman"/>
          <w:sz w:val="24"/>
          <w:szCs w:val="24"/>
        </w:rPr>
        <w:t>programmes</w:t>
      </w:r>
      <w:proofErr w:type="spellEnd"/>
      <w:r w:rsidRPr="005D3BD6">
        <w:rPr>
          <w:rFonts w:ascii="Times New Roman" w:hAnsi="Times New Roman" w:cs="Times New Roman"/>
          <w:sz w:val="24"/>
          <w:szCs w:val="24"/>
        </w:rPr>
        <w:t xml:space="preserve"> 1 and 3, the number of quitters using over the counter NRT is the same as </w:t>
      </w:r>
      <w:proofErr w:type="spellStart"/>
      <w:r w:rsidR="00117573">
        <w:rPr>
          <w:rFonts w:ascii="Times New Roman" w:hAnsi="Times New Roman" w:cs="Times New Roman"/>
          <w:sz w:val="24"/>
          <w:szCs w:val="24"/>
        </w:rPr>
        <w:t>programme</w:t>
      </w:r>
      <w:proofErr w:type="spellEnd"/>
      <w:r w:rsidR="00117573">
        <w:rPr>
          <w:rFonts w:ascii="Times New Roman" w:hAnsi="Times New Roman" w:cs="Times New Roman"/>
          <w:sz w:val="24"/>
          <w:szCs w:val="24"/>
        </w:rPr>
        <w:t xml:space="preserve"> </w:t>
      </w:r>
      <w:r w:rsidRPr="005D3BD6">
        <w:rPr>
          <w:rFonts w:ascii="Times New Roman" w:hAnsi="Times New Roman" w:cs="Times New Roman"/>
          <w:sz w:val="24"/>
          <w:szCs w:val="24"/>
        </w:rPr>
        <w:t xml:space="preserve">2. </w:t>
      </w:r>
      <w:proofErr w:type="gramStart"/>
      <w:r w:rsidRPr="005D3BD6">
        <w:rPr>
          <w:rFonts w:ascii="Times New Roman" w:hAnsi="Times New Roman" w:cs="Times New Roman"/>
          <w:sz w:val="24"/>
          <w:szCs w:val="24"/>
        </w:rPr>
        <w:t>Therefore</w:t>
      </w:r>
      <w:proofErr w:type="gramEnd"/>
      <w:r w:rsidRPr="005D3BD6">
        <w:rPr>
          <w:rFonts w:ascii="Times New Roman" w:hAnsi="Times New Roman" w:cs="Times New Roman"/>
          <w:sz w:val="24"/>
          <w:szCs w:val="24"/>
        </w:rPr>
        <w:t xml:space="preserve"> set these cells for </w:t>
      </w:r>
      <w:proofErr w:type="spellStart"/>
      <w:r w:rsidR="00117573">
        <w:rPr>
          <w:rFonts w:ascii="Times New Roman" w:hAnsi="Times New Roman" w:cs="Times New Roman"/>
          <w:sz w:val="24"/>
          <w:szCs w:val="24"/>
        </w:rPr>
        <w:t>programes</w:t>
      </w:r>
      <w:proofErr w:type="spellEnd"/>
      <w:r w:rsidRPr="005D3BD6">
        <w:rPr>
          <w:rFonts w:ascii="Times New Roman" w:hAnsi="Times New Roman" w:cs="Times New Roman"/>
          <w:sz w:val="24"/>
          <w:szCs w:val="24"/>
        </w:rPr>
        <w:t xml:space="preserve"> 1 and 3 (cells F</w:t>
      </w:r>
      <w:r w:rsidR="00A41C1D">
        <w:rPr>
          <w:rFonts w:ascii="Times New Roman" w:hAnsi="Times New Roman" w:cs="Times New Roman"/>
          <w:sz w:val="24"/>
          <w:szCs w:val="24"/>
        </w:rPr>
        <w:t>5</w:t>
      </w:r>
      <w:r w:rsidRPr="005D3BD6">
        <w:rPr>
          <w:rFonts w:ascii="Times New Roman" w:hAnsi="Times New Roman" w:cs="Times New Roman"/>
          <w:sz w:val="24"/>
          <w:szCs w:val="24"/>
        </w:rPr>
        <w:t>:</w:t>
      </w:r>
      <w:r w:rsidR="00A41C1D">
        <w:rPr>
          <w:rFonts w:ascii="Times New Roman" w:hAnsi="Times New Roman" w:cs="Times New Roman"/>
          <w:sz w:val="24"/>
          <w:szCs w:val="24"/>
        </w:rPr>
        <w:t>F16</w:t>
      </w:r>
      <w:r w:rsidRPr="005D3BD6">
        <w:rPr>
          <w:rFonts w:ascii="Times New Roman" w:hAnsi="Times New Roman" w:cs="Times New Roman"/>
          <w:sz w:val="24"/>
          <w:szCs w:val="24"/>
        </w:rPr>
        <w:t xml:space="preserve"> and F</w:t>
      </w:r>
      <w:r w:rsidR="00A41C1D">
        <w:rPr>
          <w:rFonts w:ascii="Times New Roman" w:hAnsi="Times New Roman" w:cs="Times New Roman"/>
          <w:sz w:val="24"/>
          <w:szCs w:val="24"/>
        </w:rPr>
        <w:t>35</w:t>
      </w:r>
      <w:r w:rsidRPr="005D3BD6">
        <w:rPr>
          <w:rFonts w:ascii="Times New Roman" w:hAnsi="Times New Roman" w:cs="Times New Roman"/>
          <w:sz w:val="24"/>
          <w:szCs w:val="24"/>
        </w:rPr>
        <w:t>:F</w:t>
      </w:r>
      <w:r w:rsidR="00A41C1D">
        <w:rPr>
          <w:rFonts w:ascii="Times New Roman" w:hAnsi="Times New Roman" w:cs="Times New Roman"/>
          <w:sz w:val="24"/>
          <w:szCs w:val="24"/>
        </w:rPr>
        <w:t>46</w:t>
      </w:r>
      <w:r w:rsidRPr="005D3BD6">
        <w:rPr>
          <w:rFonts w:ascii="Times New Roman" w:hAnsi="Times New Roman" w:cs="Times New Roman"/>
          <w:sz w:val="24"/>
          <w:szCs w:val="24"/>
        </w:rPr>
        <w:t>, respectively) equal to the corresponding cells for scenario 2 (cells F</w:t>
      </w:r>
      <w:r w:rsidR="00A41C1D">
        <w:rPr>
          <w:rFonts w:ascii="Times New Roman" w:hAnsi="Times New Roman" w:cs="Times New Roman"/>
          <w:sz w:val="24"/>
          <w:szCs w:val="24"/>
        </w:rPr>
        <w:t>20</w:t>
      </w:r>
      <w:r w:rsidRPr="005D3BD6">
        <w:rPr>
          <w:rFonts w:ascii="Times New Roman" w:hAnsi="Times New Roman" w:cs="Times New Roman"/>
          <w:sz w:val="24"/>
          <w:szCs w:val="24"/>
        </w:rPr>
        <w:t>:F</w:t>
      </w:r>
      <w:r w:rsidR="00A41C1D">
        <w:rPr>
          <w:rFonts w:ascii="Times New Roman" w:hAnsi="Times New Roman" w:cs="Times New Roman"/>
          <w:sz w:val="24"/>
          <w:szCs w:val="24"/>
        </w:rPr>
        <w:t>31</w:t>
      </w:r>
      <w:r w:rsidRPr="005D3BD6">
        <w:rPr>
          <w:rFonts w:ascii="Times New Roman" w:hAnsi="Times New Roman" w:cs="Times New Roman"/>
          <w:sz w:val="24"/>
          <w:szCs w:val="24"/>
        </w:rPr>
        <w:t>).</w:t>
      </w:r>
    </w:p>
    <w:p w14:paraId="4D910B09" w14:textId="77777777" w:rsidR="00D00B8A" w:rsidRPr="005D3BD6" w:rsidRDefault="00D00B8A" w:rsidP="00D00B8A">
      <w:pPr>
        <w:pStyle w:val="ListParagraph"/>
        <w:numPr>
          <w:ilvl w:val="0"/>
          <w:numId w:val="11"/>
        </w:numPr>
        <w:spacing w:after="160" w:line="480" w:lineRule="auto"/>
        <w:rPr>
          <w:rFonts w:ascii="Times New Roman" w:hAnsi="Times New Roman" w:cs="Times New Roman"/>
          <w:sz w:val="24"/>
          <w:szCs w:val="24"/>
        </w:rPr>
      </w:pPr>
      <w:r w:rsidRPr="005D3BD6">
        <w:rPr>
          <w:rFonts w:ascii="Times New Roman" w:hAnsi="Times New Roman" w:cs="Times New Roman"/>
          <w:sz w:val="24"/>
          <w:szCs w:val="24"/>
        </w:rPr>
        <w:t>Use of prescription NRT</w:t>
      </w:r>
    </w:p>
    <w:p w14:paraId="50613854" w14:textId="3611BF52" w:rsidR="00D00B8A" w:rsidRPr="005D3BD6" w:rsidRDefault="00D00B8A" w:rsidP="00D00B8A">
      <w:pPr>
        <w:spacing w:line="480" w:lineRule="auto"/>
        <w:rPr>
          <w:rFonts w:ascii="Times New Roman" w:hAnsi="Times New Roman" w:cs="Times New Roman"/>
          <w:sz w:val="24"/>
          <w:szCs w:val="24"/>
        </w:rPr>
      </w:pPr>
      <w:r w:rsidRPr="005D3BD6">
        <w:rPr>
          <w:rFonts w:ascii="Times New Roman" w:hAnsi="Times New Roman" w:cs="Times New Roman"/>
          <w:sz w:val="24"/>
          <w:szCs w:val="24"/>
        </w:rPr>
        <w:t xml:space="preserve">For </w:t>
      </w:r>
      <w:proofErr w:type="spellStart"/>
      <w:r w:rsidR="00A41C1D">
        <w:rPr>
          <w:rFonts w:ascii="Times New Roman" w:hAnsi="Times New Roman" w:cs="Times New Roman"/>
          <w:sz w:val="24"/>
          <w:szCs w:val="24"/>
        </w:rPr>
        <w:t>programme</w:t>
      </w:r>
      <w:proofErr w:type="spellEnd"/>
      <w:r w:rsidRPr="005D3BD6">
        <w:rPr>
          <w:rFonts w:ascii="Times New Roman" w:hAnsi="Times New Roman" w:cs="Times New Roman"/>
          <w:sz w:val="24"/>
          <w:szCs w:val="24"/>
        </w:rPr>
        <w:t xml:space="preserve"> 1, there is no public NRT, so you can enter zero use of prescription NRT in cells </w:t>
      </w:r>
      <w:r w:rsidR="00A41C1D">
        <w:rPr>
          <w:rFonts w:ascii="Times New Roman" w:hAnsi="Times New Roman" w:cs="Times New Roman"/>
          <w:sz w:val="24"/>
          <w:szCs w:val="24"/>
        </w:rPr>
        <w:t>E5</w:t>
      </w:r>
      <w:r w:rsidRPr="005D3BD6">
        <w:rPr>
          <w:rFonts w:ascii="Times New Roman" w:hAnsi="Times New Roman" w:cs="Times New Roman"/>
          <w:sz w:val="24"/>
          <w:szCs w:val="24"/>
        </w:rPr>
        <w:t>:E</w:t>
      </w:r>
      <w:r w:rsidR="00A41C1D">
        <w:rPr>
          <w:rFonts w:ascii="Times New Roman" w:hAnsi="Times New Roman" w:cs="Times New Roman"/>
          <w:sz w:val="24"/>
          <w:szCs w:val="24"/>
        </w:rPr>
        <w:t>16</w:t>
      </w:r>
      <w:r w:rsidRPr="005D3BD6">
        <w:rPr>
          <w:rFonts w:ascii="Times New Roman" w:hAnsi="Times New Roman" w:cs="Times New Roman"/>
          <w:sz w:val="24"/>
          <w:szCs w:val="24"/>
        </w:rPr>
        <w:t xml:space="preserve">. For </w:t>
      </w:r>
      <w:proofErr w:type="spellStart"/>
      <w:r w:rsidR="00A41C1D">
        <w:rPr>
          <w:rFonts w:ascii="Times New Roman" w:hAnsi="Times New Roman" w:cs="Times New Roman"/>
          <w:sz w:val="24"/>
          <w:szCs w:val="24"/>
        </w:rPr>
        <w:t>programme</w:t>
      </w:r>
      <w:proofErr w:type="spellEnd"/>
      <w:r w:rsidRPr="005D3BD6">
        <w:rPr>
          <w:rFonts w:ascii="Times New Roman" w:hAnsi="Times New Roman" w:cs="Times New Roman"/>
          <w:sz w:val="24"/>
          <w:szCs w:val="24"/>
        </w:rPr>
        <w:t xml:space="preserve"> 3 the use of prescription NRT is higher than </w:t>
      </w:r>
      <w:proofErr w:type="spellStart"/>
      <w:r w:rsidR="00A41C1D">
        <w:rPr>
          <w:rFonts w:ascii="Times New Roman" w:hAnsi="Times New Roman" w:cs="Times New Roman"/>
          <w:sz w:val="24"/>
          <w:szCs w:val="24"/>
        </w:rPr>
        <w:t>programme</w:t>
      </w:r>
      <w:proofErr w:type="spellEnd"/>
      <w:r w:rsidRPr="005D3BD6">
        <w:rPr>
          <w:rFonts w:ascii="Times New Roman" w:hAnsi="Times New Roman" w:cs="Times New Roman"/>
          <w:sz w:val="24"/>
          <w:szCs w:val="24"/>
        </w:rPr>
        <w:t xml:space="preserve"> 2 in more deprived group</w:t>
      </w:r>
      <w:r w:rsidR="00A41C1D">
        <w:rPr>
          <w:rFonts w:ascii="Times New Roman" w:hAnsi="Times New Roman" w:cs="Times New Roman"/>
          <w:sz w:val="24"/>
          <w:szCs w:val="24"/>
        </w:rPr>
        <w:t>s</w:t>
      </w:r>
      <w:r w:rsidRPr="005D3BD6">
        <w:rPr>
          <w:rFonts w:ascii="Times New Roman" w:hAnsi="Times New Roman" w:cs="Times New Roman"/>
          <w:sz w:val="24"/>
          <w:szCs w:val="24"/>
        </w:rPr>
        <w:t xml:space="preserve">, as detailed in cells </w:t>
      </w:r>
      <w:r w:rsidR="00A41C1D">
        <w:rPr>
          <w:rFonts w:ascii="Times New Roman" w:hAnsi="Times New Roman" w:cs="Times New Roman"/>
          <w:sz w:val="24"/>
          <w:szCs w:val="24"/>
        </w:rPr>
        <w:t>H</w:t>
      </w:r>
      <w:r w:rsidRPr="005D3BD6">
        <w:rPr>
          <w:rFonts w:ascii="Times New Roman" w:hAnsi="Times New Roman" w:cs="Times New Roman"/>
          <w:sz w:val="24"/>
          <w:szCs w:val="24"/>
        </w:rPr>
        <w:t>2</w:t>
      </w:r>
      <w:r w:rsidR="00A41C1D">
        <w:rPr>
          <w:rFonts w:ascii="Times New Roman" w:hAnsi="Times New Roman" w:cs="Times New Roman"/>
          <w:sz w:val="24"/>
          <w:szCs w:val="24"/>
        </w:rPr>
        <w:t>1</w:t>
      </w:r>
      <w:r w:rsidRPr="005D3BD6">
        <w:rPr>
          <w:rFonts w:ascii="Times New Roman" w:hAnsi="Times New Roman" w:cs="Times New Roman"/>
          <w:sz w:val="24"/>
          <w:szCs w:val="24"/>
        </w:rPr>
        <w:t>:K3</w:t>
      </w:r>
      <w:r w:rsidR="00A41C1D">
        <w:rPr>
          <w:rFonts w:ascii="Times New Roman" w:hAnsi="Times New Roman" w:cs="Times New Roman"/>
          <w:sz w:val="24"/>
          <w:szCs w:val="24"/>
        </w:rPr>
        <w:t>0</w:t>
      </w:r>
      <w:r w:rsidRPr="005D3BD6">
        <w:rPr>
          <w:rFonts w:ascii="Times New Roman" w:hAnsi="Times New Roman" w:cs="Times New Roman"/>
          <w:sz w:val="24"/>
          <w:szCs w:val="24"/>
        </w:rPr>
        <w:t xml:space="preserve"> in the &lt;Inputs</w:t>
      </w:r>
      <w:r w:rsidR="00A41C1D">
        <w:rPr>
          <w:rFonts w:ascii="Times New Roman" w:hAnsi="Times New Roman" w:cs="Times New Roman"/>
          <w:sz w:val="24"/>
          <w:szCs w:val="24"/>
        </w:rPr>
        <w:t xml:space="preserve"> 1</w:t>
      </w:r>
      <w:r w:rsidRPr="005D3BD6">
        <w:rPr>
          <w:rFonts w:ascii="Times New Roman" w:hAnsi="Times New Roman" w:cs="Times New Roman"/>
          <w:sz w:val="24"/>
          <w:szCs w:val="24"/>
        </w:rPr>
        <w:t xml:space="preserve">&gt; sheet. </w:t>
      </w:r>
    </w:p>
    <w:p w14:paraId="3CBAC31C" w14:textId="77777777" w:rsidR="00D00B8A" w:rsidRPr="005D3BD6" w:rsidRDefault="00D00B8A" w:rsidP="00D00B8A">
      <w:pPr>
        <w:pStyle w:val="ListParagraph"/>
        <w:numPr>
          <w:ilvl w:val="0"/>
          <w:numId w:val="11"/>
        </w:numPr>
        <w:spacing w:after="160" w:line="480" w:lineRule="auto"/>
        <w:rPr>
          <w:rFonts w:ascii="Times New Roman" w:hAnsi="Times New Roman" w:cs="Times New Roman"/>
          <w:sz w:val="24"/>
          <w:szCs w:val="24"/>
        </w:rPr>
      </w:pPr>
      <w:r w:rsidRPr="005D3BD6">
        <w:rPr>
          <w:rFonts w:ascii="Times New Roman" w:hAnsi="Times New Roman" w:cs="Times New Roman"/>
          <w:sz w:val="24"/>
          <w:szCs w:val="24"/>
        </w:rPr>
        <w:t>Non-NRT quit attempts</w:t>
      </w:r>
    </w:p>
    <w:p w14:paraId="63DBE5C8" w14:textId="38B6259A" w:rsidR="00D00B8A" w:rsidRPr="005D3BD6" w:rsidRDefault="00D00B8A" w:rsidP="00D00B8A">
      <w:pPr>
        <w:spacing w:line="480" w:lineRule="auto"/>
        <w:rPr>
          <w:rFonts w:ascii="Times New Roman" w:hAnsi="Times New Roman" w:cs="Times New Roman"/>
          <w:sz w:val="24"/>
          <w:szCs w:val="24"/>
        </w:rPr>
      </w:pPr>
      <w:r w:rsidRPr="005D3BD6">
        <w:rPr>
          <w:rFonts w:ascii="Times New Roman" w:hAnsi="Times New Roman" w:cs="Times New Roman"/>
          <w:sz w:val="24"/>
          <w:szCs w:val="24"/>
        </w:rPr>
        <w:t xml:space="preserve">For all </w:t>
      </w:r>
      <w:proofErr w:type="spellStart"/>
      <w:r w:rsidR="00A41C1D">
        <w:rPr>
          <w:rFonts w:ascii="Times New Roman" w:hAnsi="Times New Roman" w:cs="Times New Roman"/>
          <w:sz w:val="24"/>
          <w:szCs w:val="24"/>
        </w:rPr>
        <w:t>programme</w:t>
      </w:r>
      <w:proofErr w:type="spellEnd"/>
      <w:r w:rsidR="00A41C1D">
        <w:rPr>
          <w:rFonts w:ascii="Times New Roman" w:hAnsi="Times New Roman" w:cs="Times New Roman"/>
          <w:sz w:val="24"/>
          <w:szCs w:val="24"/>
        </w:rPr>
        <w:t xml:space="preserve"> options </w:t>
      </w:r>
      <w:r w:rsidRPr="005D3BD6">
        <w:rPr>
          <w:rFonts w:ascii="Times New Roman" w:hAnsi="Times New Roman" w:cs="Times New Roman"/>
          <w:sz w:val="24"/>
          <w:szCs w:val="24"/>
        </w:rPr>
        <w:t xml:space="preserve">we now have the total number of NRT quit attempts (whether prescribed or purchased over the counter) for each group and, since we know the total number of quit attempts, we can also calculate the total number of non-NRT quit attempts for </w:t>
      </w:r>
      <w:proofErr w:type="spellStart"/>
      <w:r w:rsidR="00A41C1D">
        <w:rPr>
          <w:rFonts w:ascii="Times New Roman" w:hAnsi="Times New Roman" w:cs="Times New Roman"/>
          <w:sz w:val="24"/>
          <w:szCs w:val="24"/>
        </w:rPr>
        <w:t>programmes</w:t>
      </w:r>
      <w:proofErr w:type="spellEnd"/>
      <w:r w:rsidR="00A41C1D">
        <w:rPr>
          <w:rFonts w:ascii="Times New Roman" w:hAnsi="Times New Roman" w:cs="Times New Roman"/>
          <w:sz w:val="24"/>
          <w:szCs w:val="24"/>
        </w:rPr>
        <w:t xml:space="preserve"> </w:t>
      </w:r>
      <w:r w:rsidRPr="005D3BD6">
        <w:rPr>
          <w:rFonts w:ascii="Times New Roman" w:hAnsi="Times New Roman" w:cs="Times New Roman"/>
          <w:sz w:val="24"/>
          <w:szCs w:val="24"/>
        </w:rPr>
        <w:t>1 and 3 in column H.</w:t>
      </w:r>
    </w:p>
    <w:p w14:paraId="060B16FB" w14:textId="77777777" w:rsidR="00D00B8A" w:rsidRPr="00D00B8A" w:rsidRDefault="00D00B8A" w:rsidP="00D00B8A">
      <w:pPr>
        <w:pStyle w:val="ListParagraph"/>
        <w:numPr>
          <w:ilvl w:val="0"/>
          <w:numId w:val="9"/>
        </w:numPr>
        <w:spacing w:after="160" w:line="480" w:lineRule="auto"/>
        <w:rPr>
          <w:rFonts w:ascii="Times New Roman" w:hAnsi="Times New Roman" w:cs="Times New Roman"/>
          <w:b/>
          <w:sz w:val="24"/>
          <w:szCs w:val="24"/>
        </w:rPr>
      </w:pPr>
      <w:r w:rsidRPr="00D00B8A">
        <w:rPr>
          <w:rFonts w:ascii="Times New Roman" w:hAnsi="Times New Roman" w:cs="Times New Roman"/>
          <w:b/>
          <w:sz w:val="24"/>
          <w:szCs w:val="24"/>
        </w:rPr>
        <w:t>Modelling the success of quit attempts</w:t>
      </w:r>
    </w:p>
    <w:p w14:paraId="727D4F2E" w14:textId="34835193" w:rsidR="00D00B8A" w:rsidRPr="005D3BD6" w:rsidRDefault="00D00B8A" w:rsidP="00D00B8A">
      <w:pPr>
        <w:spacing w:line="480" w:lineRule="auto"/>
        <w:rPr>
          <w:rFonts w:ascii="Times New Roman" w:hAnsi="Times New Roman" w:cs="Times New Roman"/>
          <w:sz w:val="24"/>
          <w:szCs w:val="24"/>
        </w:rPr>
      </w:pPr>
      <w:r w:rsidRPr="005D3BD6">
        <w:rPr>
          <w:rFonts w:ascii="Times New Roman" w:hAnsi="Times New Roman" w:cs="Times New Roman"/>
          <w:sz w:val="24"/>
          <w:szCs w:val="24"/>
        </w:rPr>
        <w:t xml:space="preserve">For all </w:t>
      </w:r>
      <w:proofErr w:type="spellStart"/>
      <w:r w:rsidR="00A41C1D">
        <w:rPr>
          <w:rFonts w:ascii="Times New Roman" w:hAnsi="Times New Roman" w:cs="Times New Roman"/>
          <w:sz w:val="24"/>
          <w:szCs w:val="24"/>
        </w:rPr>
        <w:t>programme</w:t>
      </w:r>
      <w:r w:rsidRPr="005D3BD6">
        <w:rPr>
          <w:rFonts w:ascii="Times New Roman" w:hAnsi="Times New Roman" w:cs="Times New Roman"/>
          <w:sz w:val="24"/>
          <w:szCs w:val="24"/>
        </w:rPr>
        <w:t>s</w:t>
      </w:r>
      <w:proofErr w:type="spellEnd"/>
      <w:r w:rsidRPr="005D3BD6">
        <w:rPr>
          <w:rFonts w:ascii="Times New Roman" w:hAnsi="Times New Roman" w:cs="Times New Roman"/>
          <w:sz w:val="24"/>
          <w:szCs w:val="24"/>
        </w:rPr>
        <w:t xml:space="preserve">, the process for calculating the number of successful long-term quitters is the same. The cells in columns I to M have automatically been calculated for you for </w:t>
      </w:r>
      <w:proofErr w:type="spellStart"/>
      <w:r w:rsidR="00A41C1D">
        <w:rPr>
          <w:rFonts w:ascii="Times New Roman" w:hAnsi="Times New Roman" w:cs="Times New Roman"/>
          <w:sz w:val="24"/>
          <w:szCs w:val="24"/>
        </w:rPr>
        <w:t>programme</w:t>
      </w:r>
      <w:r w:rsidRPr="005D3BD6">
        <w:rPr>
          <w:rFonts w:ascii="Times New Roman" w:hAnsi="Times New Roman" w:cs="Times New Roman"/>
          <w:sz w:val="24"/>
          <w:szCs w:val="24"/>
        </w:rPr>
        <w:t>s</w:t>
      </w:r>
      <w:proofErr w:type="spellEnd"/>
      <w:r w:rsidRPr="005D3BD6">
        <w:rPr>
          <w:rFonts w:ascii="Times New Roman" w:hAnsi="Times New Roman" w:cs="Times New Roman"/>
          <w:sz w:val="24"/>
          <w:szCs w:val="24"/>
        </w:rPr>
        <w:t xml:space="preserve"> 1 and 2. It now remains to calculate these quantities for </w:t>
      </w:r>
      <w:proofErr w:type="spellStart"/>
      <w:r w:rsidR="00A41C1D">
        <w:rPr>
          <w:rFonts w:ascii="Times New Roman" w:hAnsi="Times New Roman" w:cs="Times New Roman"/>
          <w:sz w:val="24"/>
          <w:szCs w:val="24"/>
        </w:rPr>
        <w:t>programme</w:t>
      </w:r>
      <w:proofErr w:type="spellEnd"/>
      <w:r w:rsidRPr="005D3BD6">
        <w:rPr>
          <w:rFonts w:ascii="Times New Roman" w:hAnsi="Times New Roman" w:cs="Times New Roman"/>
          <w:sz w:val="24"/>
          <w:szCs w:val="24"/>
        </w:rPr>
        <w:t xml:space="preserve"> 3. You can have a look at the formulae for how these have been calculated for </w:t>
      </w:r>
      <w:proofErr w:type="spellStart"/>
      <w:r w:rsidR="00A41C1D">
        <w:rPr>
          <w:rFonts w:ascii="Times New Roman" w:hAnsi="Times New Roman" w:cs="Times New Roman"/>
          <w:sz w:val="24"/>
          <w:szCs w:val="24"/>
        </w:rPr>
        <w:t>programmes</w:t>
      </w:r>
      <w:proofErr w:type="spellEnd"/>
      <w:r w:rsidR="00A41C1D">
        <w:rPr>
          <w:rFonts w:ascii="Times New Roman" w:hAnsi="Times New Roman" w:cs="Times New Roman"/>
          <w:sz w:val="24"/>
          <w:szCs w:val="24"/>
        </w:rPr>
        <w:t xml:space="preserve"> </w:t>
      </w:r>
      <w:r w:rsidRPr="005D3BD6">
        <w:rPr>
          <w:rFonts w:ascii="Times New Roman" w:hAnsi="Times New Roman" w:cs="Times New Roman"/>
          <w:sz w:val="24"/>
          <w:szCs w:val="24"/>
        </w:rPr>
        <w:t>1 and 2 if you wish.</w:t>
      </w:r>
    </w:p>
    <w:p w14:paraId="4C539A29" w14:textId="77777777" w:rsidR="00D00B8A" w:rsidRPr="005D3BD6" w:rsidRDefault="00D00B8A" w:rsidP="00D00B8A">
      <w:pPr>
        <w:pStyle w:val="ListParagraph"/>
        <w:numPr>
          <w:ilvl w:val="0"/>
          <w:numId w:val="12"/>
        </w:numPr>
        <w:spacing w:after="160" w:line="480" w:lineRule="auto"/>
        <w:rPr>
          <w:rFonts w:ascii="Times New Roman" w:hAnsi="Times New Roman" w:cs="Times New Roman"/>
          <w:sz w:val="24"/>
          <w:szCs w:val="24"/>
        </w:rPr>
      </w:pPr>
      <w:r w:rsidRPr="005D3BD6">
        <w:rPr>
          <w:rFonts w:ascii="Times New Roman" w:hAnsi="Times New Roman" w:cs="Times New Roman"/>
          <w:sz w:val="24"/>
          <w:szCs w:val="24"/>
        </w:rPr>
        <w:lastRenderedPageBreak/>
        <w:t>Successful NRT quitters at 12 months</w:t>
      </w:r>
    </w:p>
    <w:p w14:paraId="3E4DF9E0" w14:textId="07920538" w:rsidR="00D00B8A" w:rsidRPr="005D3BD6" w:rsidRDefault="00D00B8A" w:rsidP="00D00B8A">
      <w:pPr>
        <w:spacing w:line="480" w:lineRule="auto"/>
        <w:rPr>
          <w:rFonts w:ascii="Times New Roman" w:hAnsi="Times New Roman" w:cs="Times New Roman"/>
          <w:sz w:val="24"/>
          <w:szCs w:val="24"/>
        </w:rPr>
      </w:pPr>
      <w:r w:rsidRPr="005D3BD6">
        <w:rPr>
          <w:rFonts w:ascii="Times New Roman" w:hAnsi="Times New Roman" w:cs="Times New Roman"/>
          <w:sz w:val="24"/>
          <w:szCs w:val="24"/>
        </w:rPr>
        <w:t>Calculate the number of people who successfully quit after 12 months in each group using NRT in cells I</w:t>
      </w:r>
      <w:r w:rsidR="00A41C1D">
        <w:rPr>
          <w:rFonts w:ascii="Times New Roman" w:hAnsi="Times New Roman" w:cs="Times New Roman"/>
          <w:sz w:val="24"/>
          <w:szCs w:val="24"/>
        </w:rPr>
        <w:t>35</w:t>
      </w:r>
      <w:r w:rsidRPr="005D3BD6">
        <w:rPr>
          <w:rFonts w:ascii="Times New Roman" w:hAnsi="Times New Roman" w:cs="Times New Roman"/>
          <w:sz w:val="24"/>
          <w:szCs w:val="24"/>
        </w:rPr>
        <w:t>:I</w:t>
      </w:r>
      <w:r w:rsidR="00A41C1D">
        <w:rPr>
          <w:rFonts w:ascii="Times New Roman" w:hAnsi="Times New Roman" w:cs="Times New Roman"/>
          <w:sz w:val="24"/>
          <w:szCs w:val="24"/>
        </w:rPr>
        <w:t>46</w:t>
      </w:r>
      <w:r w:rsidRPr="005D3BD6">
        <w:rPr>
          <w:rFonts w:ascii="Times New Roman" w:hAnsi="Times New Roman" w:cs="Times New Roman"/>
          <w:sz w:val="24"/>
          <w:szCs w:val="24"/>
        </w:rPr>
        <w:t xml:space="preserve">.  For each NRT quit attempt, the quit success probability is the quit success probability without NRT (which varies by the 5 deprivation groups and is given in cells </w:t>
      </w:r>
      <w:r w:rsidR="003D6CA6">
        <w:rPr>
          <w:rFonts w:ascii="Times New Roman" w:hAnsi="Times New Roman" w:cs="Times New Roman"/>
          <w:sz w:val="24"/>
          <w:szCs w:val="24"/>
        </w:rPr>
        <w:t>D4</w:t>
      </w:r>
      <w:r w:rsidRPr="005D3BD6">
        <w:rPr>
          <w:rFonts w:ascii="Times New Roman" w:hAnsi="Times New Roman" w:cs="Times New Roman"/>
          <w:sz w:val="24"/>
          <w:szCs w:val="24"/>
        </w:rPr>
        <w:t>:</w:t>
      </w:r>
      <w:r w:rsidR="003D6CA6">
        <w:rPr>
          <w:rFonts w:ascii="Times New Roman" w:hAnsi="Times New Roman" w:cs="Times New Roman"/>
          <w:sz w:val="24"/>
          <w:szCs w:val="24"/>
        </w:rPr>
        <w:t>D8</w:t>
      </w:r>
      <w:r w:rsidRPr="005D3BD6">
        <w:rPr>
          <w:rFonts w:ascii="Times New Roman" w:hAnsi="Times New Roman" w:cs="Times New Roman"/>
          <w:sz w:val="24"/>
          <w:szCs w:val="24"/>
        </w:rPr>
        <w:t xml:space="preserve"> of the &lt;Inputs</w:t>
      </w:r>
      <w:r w:rsidR="00A41C1D">
        <w:rPr>
          <w:rFonts w:ascii="Times New Roman" w:hAnsi="Times New Roman" w:cs="Times New Roman"/>
          <w:sz w:val="24"/>
          <w:szCs w:val="24"/>
        </w:rPr>
        <w:t xml:space="preserve"> 2</w:t>
      </w:r>
      <w:r w:rsidRPr="005D3BD6">
        <w:rPr>
          <w:rFonts w:ascii="Times New Roman" w:hAnsi="Times New Roman" w:cs="Times New Roman"/>
          <w:sz w:val="24"/>
          <w:szCs w:val="24"/>
        </w:rPr>
        <w:t>&gt; worksheet) multiplied by the Relative Risk for NRT use (which is fixed, cell B</w:t>
      </w:r>
      <w:r w:rsidR="003D6CA6">
        <w:rPr>
          <w:rFonts w:ascii="Times New Roman" w:hAnsi="Times New Roman" w:cs="Times New Roman"/>
          <w:sz w:val="24"/>
          <w:szCs w:val="24"/>
        </w:rPr>
        <w:t>4</w:t>
      </w:r>
      <w:r w:rsidRPr="005D3BD6">
        <w:rPr>
          <w:rFonts w:ascii="Times New Roman" w:hAnsi="Times New Roman" w:cs="Times New Roman"/>
          <w:sz w:val="24"/>
          <w:szCs w:val="24"/>
        </w:rPr>
        <w:t xml:space="preserve"> of the &lt;Inputs</w:t>
      </w:r>
      <w:r w:rsidR="00A41C1D">
        <w:rPr>
          <w:rFonts w:ascii="Times New Roman" w:hAnsi="Times New Roman" w:cs="Times New Roman"/>
          <w:sz w:val="24"/>
          <w:szCs w:val="24"/>
        </w:rPr>
        <w:t xml:space="preserve"> 2</w:t>
      </w:r>
      <w:r w:rsidRPr="005D3BD6">
        <w:rPr>
          <w:rFonts w:ascii="Times New Roman" w:hAnsi="Times New Roman" w:cs="Times New Roman"/>
          <w:sz w:val="24"/>
          <w:szCs w:val="24"/>
        </w:rPr>
        <w:t>&gt; worksheet).</w:t>
      </w:r>
    </w:p>
    <w:p w14:paraId="5077DE31" w14:textId="77777777" w:rsidR="00D00B8A" w:rsidRPr="005D3BD6" w:rsidRDefault="00D00B8A" w:rsidP="00D00B8A">
      <w:pPr>
        <w:pStyle w:val="ListParagraph"/>
        <w:numPr>
          <w:ilvl w:val="0"/>
          <w:numId w:val="12"/>
        </w:numPr>
        <w:spacing w:after="160" w:line="480" w:lineRule="auto"/>
        <w:rPr>
          <w:rFonts w:ascii="Times New Roman" w:hAnsi="Times New Roman" w:cs="Times New Roman"/>
          <w:sz w:val="24"/>
          <w:szCs w:val="24"/>
        </w:rPr>
      </w:pPr>
      <w:r w:rsidRPr="005D3BD6">
        <w:rPr>
          <w:rFonts w:ascii="Times New Roman" w:hAnsi="Times New Roman" w:cs="Times New Roman"/>
          <w:sz w:val="24"/>
          <w:szCs w:val="24"/>
        </w:rPr>
        <w:t>Successful non-NRT quitters at 12 months</w:t>
      </w:r>
    </w:p>
    <w:p w14:paraId="2193D325" w14:textId="7087D6B8" w:rsidR="00D00B8A" w:rsidRPr="005D3BD6" w:rsidRDefault="00D00B8A" w:rsidP="00D00B8A">
      <w:pPr>
        <w:spacing w:line="480" w:lineRule="auto"/>
        <w:rPr>
          <w:rFonts w:ascii="Times New Roman" w:hAnsi="Times New Roman" w:cs="Times New Roman"/>
          <w:sz w:val="24"/>
          <w:szCs w:val="24"/>
        </w:rPr>
      </w:pPr>
      <w:r w:rsidRPr="005D3BD6">
        <w:rPr>
          <w:rFonts w:ascii="Times New Roman" w:hAnsi="Times New Roman" w:cs="Times New Roman"/>
          <w:sz w:val="24"/>
          <w:szCs w:val="24"/>
        </w:rPr>
        <w:t xml:space="preserve">Next, calculate the number of people in each group who successfully quit without using NRT in </w:t>
      </w:r>
      <w:r w:rsidR="003D6CA6">
        <w:rPr>
          <w:rFonts w:ascii="Times New Roman" w:hAnsi="Times New Roman" w:cs="Times New Roman"/>
          <w:sz w:val="24"/>
          <w:szCs w:val="24"/>
        </w:rPr>
        <w:t xml:space="preserve">&lt;Quit Calcs&gt; </w:t>
      </w:r>
      <w:r w:rsidRPr="005D3BD6">
        <w:rPr>
          <w:rFonts w:ascii="Times New Roman" w:hAnsi="Times New Roman" w:cs="Times New Roman"/>
          <w:sz w:val="24"/>
          <w:szCs w:val="24"/>
        </w:rPr>
        <w:t>cells J</w:t>
      </w:r>
      <w:r w:rsidR="003D6CA6">
        <w:rPr>
          <w:rFonts w:ascii="Times New Roman" w:hAnsi="Times New Roman" w:cs="Times New Roman"/>
          <w:sz w:val="24"/>
          <w:szCs w:val="24"/>
        </w:rPr>
        <w:t>35</w:t>
      </w:r>
      <w:r w:rsidRPr="005D3BD6">
        <w:rPr>
          <w:rFonts w:ascii="Times New Roman" w:hAnsi="Times New Roman" w:cs="Times New Roman"/>
          <w:sz w:val="24"/>
          <w:szCs w:val="24"/>
        </w:rPr>
        <w:t>:J</w:t>
      </w:r>
      <w:r w:rsidR="003D6CA6">
        <w:rPr>
          <w:rFonts w:ascii="Times New Roman" w:hAnsi="Times New Roman" w:cs="Times New Roman"/>
          <w:sz w:val="24"/>
          <w:szCs w:val="24"/>
        </w:rPr>
        <w:t>46</w:t>
      </w:r>
      <w:r w:rsidRPr="005D3BD6">
        <w:rPr>
          <w:rFonts w:ascii="Times New Roman" w:hAnsi="Times New Roman" w:cs="Times New Roman"/>
          <w:sz w:val="24"/>
          <w:szCs w:val="24"/>
        </w:rPr>
        <w:t>.</w:t>
      </w:r>
    </w:p>
    <w:p w14:paraId="3F180803" w14:textId="77777777" w:rsidR="00D00B8A" w:rsidRPr="005D3BD6" w:rsidRDefault="00D00B8A" w:rsidP="00D00B8A">
      <w:pPr>
        <w:pStyle w:val="ListParagraph"/>
        <w:numPr>
          <w:ilvl w:val="0"/>
          <w:numId w:val="12"/>
        </w:numPr>
        <w:spacing w:after="160" w:line="480" w:lineRule="auto"/>
        <w:rPr>
          <w:rFonts w:ascii="Times New Roman" w:hAnsi="Times New Roman" w:cs="Times New Roman"/>
          <w:sz w:val="24"/>
          <w:szCs w:val="24"/>
        </w:rPr>
      </w:pPr>
      <w:r w:rsidRPr="005D3BD6">
        <w:rPr>
          <w:rFonts w:ascii="Times New Roman" w:hAnsi="Times New Roman" w:cs="Times New Roman"/>
          <w:sz w:val="24"/>
          <w:szCs w:val="24"/>
        </w:rPr>
        <w:t xml:space="preserve">Total quitters at 12 months, </w:t>
      </w:r>
      <w:proofErr w:type="spellStart"/>
      <w:r w:rsidRPr="005D3BD6">
        <w:rPr>
          <w:rFonts w:ascii="Times New Roman" w:hAnsi="Times New Roman" w:cs="Times New Roman"/>
          <w:sz w:val="24"/>
          <w:szCs w:val="24"/>
        </w:rPr>
        <w:t>relapsers</w:t>
      </w:r>
      <w:proofErr w:type="spellEnd"/>
      <w:r w:rsidRPr="005D3BD6">
        <w:rPr>
          <w:rFonts w:ascii="Times New Roman" w:hAnsi="Times New Roman" w:cs="Times New Roman"/>
          <w:sz w:val="24"/>
          <w:szCs w:val="24"/>
        </w:rPr>
        <w:t xml:space="preserve"> and long-term successful quitters</w:t>
      </w:r>
    </w:p>
    <w:p w14:paraId="17F81F34" w14:textId="7A4A3777" w:rsidR="00D00B8A" w:rsidRPr="005D3BD6" w:rsidRDefault="00D00B8A" w:rsidP="00D00B8A">
      <w:pPr>
        <w:spacing w:line="480" w:lineRule="auto"/>
        <w:rPr>
          <w:rFonts w:ascii="Times New Roman" w:hAnsi="Times New Roman" w:cs="Times New Roman"/>
          <w:sz w:val="24"/>
          <w:szCs w:val="24"/>
        </w:rPr>
      </w:pPr>
      <w:r w:rsidRPr="005D3BD6">
        <w:rPr>
          <w:rFonts w:ascii="Times New Roman" w:hAnsi="Times New Roman" w:cs="Times New Roman"/>
          <w:sz w:val="24"/>
          <w:szCs w:val="24"/>
        </w:rPr>
        <w:t>Then</w:t>
      </w:r>
      <w:r w:rsidR="003D6CA6">
        <w:rPr>
          <w:rFonts w:ascii="Times New Roman" w:hAnsi="Times New Roman" w:cs="Times New Roman"/>
          <w:sz w:val="24"/>
          <w:szCs w:val="24"/>
        </w:rPr>
        <w:t xml:space="preserve"> calculate the total 12-month quitters in cells K35:K46 by adding up NRT and non-NRT quitters.  Then</w:t>
      </w:r>
      <w:r w:rsidRPr="005D3BD6">
        <w:rPr>
          <w:rFonts w:ascii="Times New Roman" w:hAnsi="Times New Roman" w:cs="Times New Roman"/>
          <w:sz w:val="24"/>
          <w:szCs w:val="24"/>
        </w:rPr>
        <w:t>, using the given relapse rate, calculate the number of 12-month quitters in each group who subsequently relapse in cells L</w:t>
      </w:r>
      <w:r w:rsidR="003D6CA6">
        <w:rPr>
          <w:rFonts w:ascii="Times New Roman" w:hAnsi="Times New Roman" w:cs="Times New Roman"/>
          <w:sz w:val="24"/>
          <w:szCs w:val="24"/>
        </w:rPr>
        <w:t>35</w:t>
      </w:r>
      <w:r w:rsidRPr="005D3BD6">
        <w:rPr>
          <w:rFonts w:ascii="Times New Roman" w:hAnsi="Times New Roman" w:cs="Times New Roman"/>
          <w:sz w:val="24"/>
          <w:szCs w:val="24"/>
        </w:rPr>
        <w:t>:L</w:t>
      </w:r>
      <w:r w:rsidR="003D6CA6">
        <w:rPr>
          <w:rFonts w:ascii="Times New Roman" w:hAnsi="Times New Roman" w:cs="Times New Roman"/>
          <w:sz w:val="24"/>
          <w:szCs w:val="24"/>
        </w:rPr>
        <w:t>46</w:t>
      </w:r>
      <w:r w:rsidRPr="005D3BD6">
        <w:rPr>
          <w:rFonts w:ascii="Times New Roman" w:hAnsi="Times New Roman" w:cs="Times New Roman"/>
          <w:sz w:val="24"/>
          <w:szCs w:val="24"/>
        </w:rPr>
        <w:t xml:space="preserve">. We now </w:t>
      </w:r>
      <w:r w:rsidR="003D6CA6">
        <w:rPr>
          <w:rFonts w:ascii="Times New Roman" w:hAnsi="Times New Roman" w:cs="Times New Roman"/>
          <w:sz w:val="24"/>
          <w:szCs w:val="24"/>
        </w:rPr>
        <w:t xml:space="preserve">estimate </w:t>
      </w:r>
      <w:r w:rsidRPr="005D3BD6">
        <w:rPr>
          <w:rFonts w:ascii="Times New Roman" w:hAnsi="Times New Roman" w:cs="Times New Roman"/>
          <w:sz w:val="24"/>
          <w:szCs w:val="24"/>
        </w:rPr>
        <w:t xml:space="preserve">the number of adults in each group who successfully give up smoking in the long term in column M by subtracting the number of </w:t>
      </w:r>
      <w:proofErr w:type="spellStart"/>
      <w:r w:rsidRPr="005D3BD6">
        <w:rPr>
          <w:rFonts w:ascii="Times New Roman" w:hAnsi="Times New Roman" w:cs="Times New Roman"/>
          <w:sz w:val="24"/>
          <w:szCs w:val="24"/>
        </w:rPr>
        <w:t>relapsers</w:t>
      </w:r>
      <w:proofErr w:type="spellEnd"/>
      <w:r w:rsidRPr="005D3BD6">
        <w:rPr>
          <w:rFonts w:ascii="Times New Roman" w:hAnsi="Times New Roman" w:cs="Times New Roman"/>
          <w:sz w:val="24"/>
          <w:szCs w:val="24"/>
        </w:rPr>
        <w:t xml:space="preserve"> from the number of successful quitters at 12 months. Refer to Figure </w:t>
      </w:r>
      <w:r w:rsidR="003D6CA6">
        <w:rPr>
          <w:rFonts w:ascii="Times New Roman" w:hAnsi="Times New Roman" w:cs="Times New Roman"/>
          <w:sz w:val="24"/>
          <w:szCs w:val="24"/>
        </w:rPr>
        <w:t xml:space="preserve">1 </w:t>
      </w:r>
      <w:r w:rsidRPr="005D3BD6">
        <w:rPr>
          <w:rFonts w:ascii="Times New Roman" w:hAnsi="Times New Roman" w:cs="Times New Roman"/>
          <w:sz w:val="24"/>
          <w:szCs w:val="24"/>
        </w:rPr>
        <w:t>to see how your calculations correspond to the decision model structure.</w:t>
      </w:r>
    </w:p>
    <w:p w14:paraId="24D1C5A4" w14:textId="4991BB8A" w:rsidR="00D00B8A" w:rsidRPr="00D00B8A" w:rsidRDefault="00D00B8A" w:rsidP="00D00B8A">
      <w:pPr>
        <w:pStyle w:val="ListParagraph"/>
        <w:numPr>
          <w:ilvl w:val="0"/>
          <w:numId w:val="9"/>
        </w:numPr>
        <w:spacing w:after="160" w:line="480" w:lineRule="auto"/>
        <w:rPr>
          <w:rFonts w:ascii="Times New Roman" w:hAnsi="Times New Roman" w:cs="Times New Roman"/>
          <w:b/>
          <w:sz w:val="24"/>
          <w:szCs w:val="24"/>
        </w:rPr>
      </w:pPr>
      <w:r w:rsidRPr="00D00B8A">
        <w:rPr>
          <w:rFonts w:ascii="Times New Roman" w:hAnsi="Times New Roman" w:cs="Times New Roman"/>
          <w:b/>
          <w:sz w:val="24"/>
          <w:szCs w:val="24"/>
        </w:rPr>
        <w:t xml:space="preserve">Calculating costs and health </w:t>
      </w:r>
      <w:r>
        <w:rPr>
          <w:rFonts w:ascii="Times New Roman" w:hAnsi="Times New Roman" w:cs="Times New Roman"/>
          <w:b/>
          <w:sz w:val="24"/>
          <w:szCs w:val="24"/>
        </w:rPr>
        <w:t>effects</w:t>
      </w:r>
    </w:p>
    <w:p w14:paraId="1E97DD73" w14:textId="799D20B8" w:rsidR="00D00B8A" w:rsidRPr="005D3BD6" w:rsidRDefault="00202F0F" w:rsidP="00D00B8A">
      <w:pPr>
        <w:spacing w:line="480" w:lineRule="auto"/>
        <w:rPr>
          <w:rFonts w:ascii="Times New Roman" w:hAnsi="Times New Roman" w:cs="Times New Roman"/>
          <w:sz w:val="24"/>
          <w:szCs w:val="24"/>
        </w:rPr>
      </w:pPr>
      <w:r>
        <w:rPr>
          <w:rFonts w:ascii="Times New Roman" w:hAnsi="Times New Roman" w:cs="Times New Roman"/>
          <w:sz w:val="24"/>
          <w:szCs w:val="24"/>
        </w:rPr>
        <w:t xml:space="preserve">We include all long-term quit successes in this calculation of NHS costs and health effects, including private NRT and non-NRT quit successes as well as public NRT quit successes.  This is because all three types of NRT quit success vary across the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w:t>
      </w:r>
      <w:r w:rsidR="00E22821">
        <w:rPr>
          <w:rFonts w:ascii="Times New Roman" w:hAnsi="Times New Roman" w:cs="Times New Roman"/>
          <w:sz w:val="24"/>
          <w:szCs w:val="24"/>
        </w:rPr>
        <w:t>The &lt;Inputs 2&gt; sheet already tells us the</w:t>
      </w:r>
      <w:r w:rsidR="00D00B8A" w:rsidRPr="005D3BD6">
        <w:rPr>
          <w:rFonts w:ascii="Times New Roman" w:hAnsi="Times New Roman" w:cs="Times New Roman"/>
          <w:sz w:val="24"/>
          <w:szCs w:val="24"/>
        </w:rPr>
        <w:t xml:space="preserve"> incremental </w:t>
      </w:r>
      <w:r w:rsidR="00E22821">
        <w:rPr>
          <w:rFonts w:ascii="Times New Roman" w:hAnsi="Times New Roman" w:cs="Times New Roman"/>
          <w:sz w:val="24"/>
          <w:szCs w:val="24"/>
        </w:rPr>
        <w:t xml:space="preserve">individual-level </w:t>
      </w:r>
      <w:r w:rsidR="00D00B8A" w:rsidRPr="005D3BD6">
        <w:rPr>
          <w:rFonts w:ascii="Times New Roman" w:hAnsi="Times New Roman" w:cs="Times New Roman"/>
          <w:sz w:val="24"/>
          <w:szCs w:val="24"/>
        </w:rPr>
        <w:t xml:space="preserve">healthcare costs and HALY gains for each long-term quitter compared to those who continue to smoke. </w:t>
      </w:r>
      <w:r w:rsidR="00E22821">
        <w:rPr>
          <w:rFonts w:ascii="Times New Roman" w:hAnsi="Times New Roman" w:cs="Times New Roman"/>
          <w:sz w:val="24"/>
          <w:szCs w:val="24"/>
        </w:rPr>
        <w:t>F</w:t>
      </w:r>
      <w:r w:rsidR="00D00B8A" w:rsidRPr="005D3BD6">
        <w:rPr>
          <w:rFonts w:ascii="Times New Roman" w:hAnsi="Times New Roman" w:cs="Times New Roman"/>
          <w:sz w:val="24"/>
          <w:szCs w:val="24"/>
        </w:rPr>
        <w:t xml:space="preserve">rom a </w:t>
      </w:r>
      <w:r w:rsidR="00E22821">
        <w:rPr>
          <w:rFonts w:ascii="Times New Roman" w:hAnsi="Times New Roman" w:cs="Times New Roman"/>
          <w:sz w:val="24"/>
          <w:szCs w:val="24"/>
        </w:rPr>
        <w:t xml:space="preserve">population-level </w:t>
      </w:r>
      <w:r w:rsidR="00D00B8A" w:rsidRPr="005D3BD6">
        <w:rPr>
          <w:rFonts w:ascii="Times New Roman" w:hAnsi="Times New Roman" w:cs="Times New Roman"/>
          <w:sz w:val="24"/>
          <w:szCs w:val="24"/>
        </w:rPr>
        <w:t>perspectiv</w:t>
      </w:r>
      <w:r w:rsidR="00E22821">
        <w:rPr>
          <w:rFonts w:ascii="Times New Roman" w:hAnsi="Times New Roman" w:cs="Times New Roman"/>
          <w:sz w:val="24"/>
          <w:szCs w:val="24"/>
        </w:rPr>
        <w:t>e</w:t>
      </w:r>
      <w:r w:rsidR="00D00B8A" w:rsidRPr="005D3BD6">
        <w:rPr>
          <w:rFonts w:ascii="Times New Roman" w:hAnsi="Times New Roman" w:cs="Times New Roman"/>
          <w:sz w:val="24"/>
          <w:szCs w:val="24"/>
        </w:rPr>
        <w:t xml:space="preserve"> </w:t>
      </w:r>
      <w:r w:rsidR="00E22821">
        <w:rPr>
          <w:rFonts w:ascii="Times New Roman" w:hAnsi="Times New Roman" w:cs="Times New Roman"/>
          <w:sz w:val="24"/>
          <w:szCs w:val="24"/>
        </w:rPr>
        <w:t xml:space="preserve">we need to know </w:t>
      </w:r>
      <w:r w:rsidR="00D00B8A" w:rsidRPr="005D3BD6">
        <w:rPr>
          <w:rFonts w:ascii="Times New Roman" w:hAnsi="Times New Roman" w:cs="Times New Roman"/>
          <w:sz w:val="24"/>
          <w:szCs w:val="24"/>
        </w:rPr>
        <w:t xml:space="preserve">the number of courses of NRT </w:t>
      </w:r>
      <w:r>
        <w:rPr>
          <w:rFonts w:ascii="Times New Roman" w:hAnsi="Times New Roman" w:cs="Times New Roman"/>
          <w:sz w:val="24"/>
          <w:szCs w:val="24"/>
        </w:rPr>
        <w:t xml:space="preserve">publicly </w:t>
      </w:r>
      <w:r w:rsidR="00D00B8A" w:rsidRPr="005D3BD6">
        <w:rPr>
          <w:rFonts w:ascii="Times New Roman" w:hAnsi="Times New Roman" w:cs="Times New Roman"/>
          <w:sz w:val="24"/>
          <w:szCs w:val="24"/>
        </w:rPr>
        <w:t xml:space="preserve">provided on prescription and the </w:t>
      </w:r>
      <w:r>
        <w:rPr>
          <w:rFonts w:ascii="Times New Roman" w:hAnsi="Times New Roman" w:cs="Times New Roman"/>
          <w:sz w:val="24"/>
          <w:szCs w:val="24"/>
        </w:rPr>
        <w:t xml:space="preserve">total </w:t>
      </w:r>
      <w:r w:rsidR="00D00B8A" w:rsidRPr="005D3BD6">
        <w:rPr>
          <w:rFonts w:ascii="Times New Roman" w:hAnsi="Times New Roman" w:cs="Times New Roman"/>
          <w:sz w:val="24"/>
          <w:szCs w:val="24"/>
        </w:rPr>
        <w:t>number of smokers who successfully quit in the long-term</w:t>
      </w:r>
      <w:r>
        <w:rPr>
          <w:rFonts w:ascii="Times New Roman" w:hAnsi="Times New Roman" w:cs="Times New Roman"/>
          <w:sz w:val="24"/>
          <w:szCs w:val="24"/>
        </w:rPr>
        <w:t xml:space="preserve"> </w:t>
      </w:r>
      <w:r>
        <w:rPr>
          <w:rFonts w:ascii="Times New Roman" w:hAnsi="Times New Roman" w:cs="Times New Roman"/>
          <w:sz w:val="24"/>
          <w:szCs w:val="24"/>
        </w:rPr>
        <w:lastRenderedPageBreak/>
        <w:t>(including private NRT and non-NRT quit successes)</w:t>
      </w:r>
      <w:r w:rsidR="00D00B8A" w:rsidRPr="005D3BD6">
        <w:rPr>
          <w:rFonts w:ascii="Times New Roman" w:hAnsi="Times New Roman" w:cs="Times New Roman"/>
          <w:sz w:val="24"/>
          <w:szCs w:val="24"/>
        </w:rPr>
        <w:t xml:space="preserve">. These have been automatically linked in your spreadsheet from columns E and M in &lt;Quit </w:t>
      </w:r>
      <w:r w:rsidR="00E22821">
        <w:rPr>
          <w:rFonts w:ascii="Times New Roman" w:hAnsi="Times New Roman" w:cs="Times New Roman"/>
          <w:sz w:val="24"/>
          <w:szCs w:val="24"/>
        </w:rPr>
        <w:t>C</w:t>
      </w:r>
      <w:r w:rsidR="00D00B8A" w:rsidRPr="005D3BD6">
        <w:rPr>
          <w:rFonts w:ascii="Times New Roman" w:hAnsi="Times New Roman" w:cs="Times New Roman"/>
          <w:sz w:val="24"/>
          <w:szCs w:val="24"/>
        </w:rPr>
        <w:t>alcs&gt;, respectively, to columns C and D in the &lt;</w:t>
      </w:r>
      <w:r w:rsidR="00E22821">
        <w:rPr>
          <w:rFonts w:ascii="Times New Roman" w:hAnsi="Times New Roman" w:cs="Times New Roman"/>
          <w:sz w:val="24"/>
          <w:szCs w:val="24"/>
        </w:rPr>
        <w:t>Costs and Effects</w:t>
      </w:r>
      <w:r w:rsidR="00D00B8A" w:rsidRPr="005D3BD6">
        <w:rPr>
          <w:rFonts w:ascii="Times New Roman" w:hAnsi="Times New Roman" w:cs="Times New Roman"/>
          <w:sz w:val="24"/>
          <w:szCs w:val="24"/>
        </w:rPr>
        <w:t>&gt; sheet.</w:t>
      </w:r>
      <w:r w:rsidR="00E22821">
        <w:rPr>
          <w:rFonts w:ascii="Times New Roman" w:hAnsi="Times New Roman" w:cs="Times New Roman"/>
          <w:sz w:val="24"/>
          <w:szCs w:val="24"/>
        </w:rPr>
        <w:t xml:space="preserve"> </w:t>
      </w:r>
    </w:p>
    <w:p w14:paraId="6D947067" w14:textId="77777777" w:rsidR="00D00B8A" w:rsidRDefault="00D00B8A" w:rsidP="00D00B8A">
      <w:pPr>
        <w:spacing w:line="480" w:lineRule="auto"/>
        <w:rPr>
          <w:rFonts w:ascii="Times New Roman" w:hAnsi="Times New Roman" w:cs="Times New Roman"/>
          <w:sz w:val="24"/>
          <w:szCs w:val="24"/>
        </w:rPr>
      </w:pPr>
    </w:p>
    <w:p w14:paraId="43175972" w14:textId="74D43C07" w:rsidR="00D00B8A" w:rsidRPr="005D3BD6" w:rsidRDefault="00202F0F" w:rsidP="00D00B8A">
      <w:pPr>
        <w:spacing w:line="480" w:lineRule="auto"/>
        <w:rPr>
          <w:rFonts w:ascii="Times New Roman" w:hAnsi="Times New Roman" w:cs="Times New Roman"/>
          <w:sz w:val="24"/>
          <w:szCs w:val="24"/>
        </w:rPr>
      </w:pPr>
      <w:r>
        <w:rPr>
          <w:rFonts w:ascii="Times New Roman" w:hAnsi="Times New Roman" w:cs="Times New Roman"/>
          <w:sz w:val="24"/>
          <w:szCs w:val="24"/>
        </w:rPr>
        <w:t>You first need to c</w:t>
      </w:r>
      <w:r w:rsidR="00D00B8A" w:rsidRPr="005D3BD6">
        <w:rPr>
          <w:rFonts w:ascii="Times New Roman" w:hAnsi="Times New Roman" w:cs="Times New Roman"/>
          <w:sz w:val="24"/>
          <w:szCs w:val="24"/>
        </w:rPr>
        <w:t>alculate the overall NHS</w:t>
      </w:r>
      <w:r w:rsidR="00E22821">
        <w:rPr>
          <w:rFonts w:ascii="Times New Roman" w:hAnsi="Times New Roman" w:cs="Times New Roman"/>
          <w:sz w:val="24"/>
          <w:szCs w:val="24"/>
        </w:rPr>
        <w:t xml:space="preserve"> </w:t>
      </w:r>
      <w:r w:rsidR="00D00B8A" w:rsidRPr="005D3BD6">
        <w:rPr>
          <w:rFonts w:ascii="Times New Roman" w:hAnsi="Times New Roman" w:cs="Times New Roman"/>
          <w:sz w:val="24"/>
          <w:szCs w:val="24"/>
        </w:rPr>
        <w:t>cost of p</w:t>
      </w:r>
      <w:r w:rsidR="00E22821">
        <w:rPr>
          <w:rFonts w:ascii="Times New Roman" w:hAnsi="Times New Roman" w:cs="Times New Roman"/>
          <w:sz w:val="24"/>
          <w:szCs w:val="24"/>
        </w:rPr>
        <w:t xml:space="preserve">ublic </w:t>
      </w:r>
      <w:r w:rsidR="00D00B8A" w:rsidRPr="005D3BD6">
        <w:rPr>
          <w:rFonts w:ascii="Times New Roman" w:hAnsi="Times New Roman" w:cs="Times New Roman"/>
          <w:sz w:val="24"/>
          <w:szCs w:val="24"/>
        </w:rPr>
        <w:t xml:space="preserve">NRT delivery for each </w:t>
      </w:r>
      <w:proofErr w:type="spellStart"/>
      <w:r w:rsidR="00E22821">
        <w:rPr>
          <w:rFonts w:ascii="Times New Roman" w:hAnsi="Times New Roman" w:cs="Times New Roman"/>
          <w:sz w:val="24"/>
          <w:szCs w:val="24"/>
        </w:rPr>
        <w:t>programme</w:t>
      </w:r>
      <w:proofErr w:type="spellEnd"/>
      <w:r w:rsidR="00D00B8A" w:rsidRPr="005D3BD6">
        <w:rPr>
          <w:rFonts w:ascii="Times New Roman" w:hAnsi="Times New Roman" w:cs="Times New Roman"/>
          <w:sz w:val="24"/>
          <w:szCs w:val="24"/>
        </w:rPr>
        <w:t>. This cost is made up of three components – the cost of the appointment to prescribe it, the cost of dispensing it and the cost of the NRT itself. Now, using the incremental long-term NHS savings per quitter from the &lt;Inputs</w:t>
      </w:r>
      <w:r w:rsidR="00E22821">
        <w:rPr>
          <w:rFonts w:ascii="Times New Roman" w:hAnsi="Times New Roman" w:cs="Times New Roman"/>
          <w:sz w:val="24"/>
          <w:szCs w:val="24"/>
        </w:rPr>
        <w:t xml:space="preserve"> 2</w:t>
      </w:r>
      <w:r w:rsidR="00D00B8A" w:rsidRPr="005D3BD6">
        <w:rPr>
          <w:rFonts w:ascii="Times New Roman" w:hAnsi="Times New Roman" w:cs="Times New Roman"/>
          <w:sz w:val="24"/>
          <w:szCs w:val="24"/>
        </w:rPr>
        <w:t>&gt; sheet, calculate the long-term NHS saving from successful long-term quitters, which differs according to socioeconomic status.</w:t>
      </w:r>
      <w:r w:rsidR="00D00B8A" w:rsidRPr="005D3BD6">
        <w:rPr>
          <w:rFonts w:ascii="Times New Roman" w:eastAsiaTheme="minorEastAsia" w:hAnsi="Times New Roman" w:cs="Times New Roman"/>
          <w:sz w:val="24"/>
          <w:szCs w:val="24"/>
          <w:lang w:eastAsia="zh-CN"/>
        </w:rPr>
        <w:t xml:space="preserve"> </w:t>
      </w:r>
      <w:r w:rsidR="00D00B8A" w:rsidRPr="005D3BD6">
        <w:rPr>
          <w:rFonts w:ascii="Times New Roman" w:hAnsi="Times New Roman" w:cs="Times New Roman"/>
          <w:sz w:val="24"/>
          <w:szCs w:val="24"/>
        </w:rPr>
        <w:t xml:space="preserve">From these two cost columns, calculate the net cost to the NHS of each </w:t>
      </w:r>
      <w:proofErr w:type="spellStart"/>
      <w:r w:rsidR="00E22821">
        <w:rPr>
          <w:rFonts w:ascii="Times New Roman" w:hAnsi="Times New Roman" w:cs="Times New Roman"/>
          <w:sz w:val="24"/>
          <w:szCs w:val="24"/>
        </w:rPr>
        <w:t>programme</w:t>
      </w:r>
      <w:proofErr w:type="spellEnd"/>
      <w:r w:rsidR="00D00B8A" w:rsidRPr="005D3BD6">
        <w:rPr>
          <w:rFonts w:ascii="Times New Roman" w:hAnsi="Times New Roman" w:cs="Times New Roman"/>
          <w:sz w:val="24"/>
          <w:szCs w:val="24"/>
        </w:rPr>
        <w:t xml:space="preserve">, remembering to treat costs and savings appropriately. For </w:t>
      </w:r>
      <w:proofErr w:type="spellStart"/>
      <w:r w:rsidR="00E22821">
        <w:rPr>
          <w:rFonts w:ascii="Times New Roman" w:hAnsi="Times New Roman" w:cs="Times New Roman"/>
          <w:sz w:val="24"/>
          <w:szCs w:val="24"/>
        </w:rPr>
        <w:t>programme</w:t>
      </w:r>
      <w:proofErr w:type="spellEnd"/>
      <w:r w:rsidR="00E22821">
        <w:rPr>
          <w:rFonts w:ascii="Times New Roman" w:hAnsi="Times New Roman" w:cs="Times New Roman"/>
          <w:sz w:val="24"/>
          <w:szCs w:val="24"/>
        </w:rPr>
        <w:t xml:space="preserve"> </w:t>
      </w:r>
      <w:r w:rsidR="00D00B8A" w:rsidRPr="005D3BD6">
        <w:rPr>
          <w:rFonts w:ascii="Times New Roman" w:hAnsi="Times New Roman" w:cs="Times New Roman"/>
          <w:sz w:val="24"/>
          <w:szCs w:val="24"/>
        </w:rPr>
        <w:t xml:space="preserve">3, you should also include the </w:t>
      </w:r>
      <w:r w:rsidR="00E22821">
        <w:rPr>
          <w:rFonts w:ascii="Times New Roman" w:hAnsi="Times New Roman" w:cs="Times New Roman"/>
          <w:sz w:val="24"/>
          <w:szCs w:val="24"/>
        </w:rPr>
        <w:t xml:space="preserve">£15m </w:t>
      </w:r>
      <w:r w:rsidR="00D00B8A" w:rsidRPr="005D3BD6">
        <w:rPr>
          <w:rFonts w:ascii="Times New Roman" w:hAnsi="Times New Roman" w:cs="Times New Roman"/>
          <w:sz w:val="24"/>
          <w:szCs w:val="24"/>
        </w:rPr>
        <w:t>cost of the targeting intervention from the &lt;Inputs</w:t>
      </w:r>
      <w:r w:rsidR="00E22821">
        <w:rPr>
          <w:rFonts w:ascii="Times New Roman" w:hAnsi="Times New Roman" w:cs="Times New Roman"/>
          <w:sz w:val="24"/>
          <w:szCs w:val="24"/>
        </w:rPr>
        <w:t xml:space="preserve"> 2</w:t>
      </w:r>
      <w:r w:rsidR="00D00B8A" w:rsidRPr="005D3BD6">
        <w:rPr>
          <w:rFonts w:ascii="Times New Roman" w:hAnsi="Times New Roman" w:cs="Times New Roman"/>
          <w:sz w:val="24"/>
          <w:szCs w:val="24"/>
        </w:rPr>
        <w:t>&gt; sheet in the population total cost when calculating the total net NHS costs in cell G4</w:t>
      </w:r>
      <w:r w:rsidR="00E22821">
        <w:rPr>
          <w:rFonts w:ascii="Times New Roman" w:hAnsi="Times New Roman" w:cs="Times New Roman"/>
          <w:sz w:val="24"/>
          <w:szCs w:val="24"/>
        </w:rPr>
        <w:t>6</w:t>
      </w:r>
      <w:r w:rsidR="00D00B8A" w:rsidRPr="005D3BD6">
        <w:rPr>
          <w:rFonts w:ascii="Times New Roman" w:hAnsi="Times New Roman" w:cs="Times New Roman"/>
          <w:sz w:val="24"/>
          <w:szCs w:val="24"/>
        </w:rPr>
        <w:t>.</w:t>
      </w:r>
    </w:p>
    <w:p w14:paraId="58E4D9E9" w14:textId="77777777" w:rsidR="00D00B8A" w:rsidRDefault="00D00B8A" w:rsidP="00D00B8A">
      <w:pPr>
        <w:spacing w:line="480" w:lineRule="auto"/>
        <w:rPr>
          <w:rFonts w:ascii="Times New Roman" w:hAnsi="Times New Roman" w:cs="Times New Roman"/>
          <w:sz w:val="24"/>
          <w:szCs w:val="24"/>
        </w:rPr>
      </w:pPr>
    </w:p>
    <w:p w14:paraId="71CF4DFE" w14:textId="21454E98" w:rsidR="00D00B8A" w:rsidRPr="005D3BD6" w:rsidRDefault="00D00B8A" w:rsidP="00D00B8A">
      <w:pPr>
        <w:spacing w:line="480" w:lineRule="auto"/>
        <w:rPr>
          <w:rFonts w:ascii="Times New Roman" w:hAnsi="Times New Roman" w:cs="Times New Roman"/>
          <w:sz w:val="24"/>
          <w:szCs w:val="24"/>
        </w:rPr>
      </w:pPr>
      <w:r w:rsidRPr="005D3BD6">
        <w:rPr>
          <w:rFonts w:ascii="Times New Roman" w:hAnsi="Times New Roman" w:cs="Times New Roman"/>
          <w:sz w:val="24"/>
          <w:szCs w:val="24"/>
        </w:rPr>
        <w:t>Finally, moving onto the health outcomes: using the incremental long-term HALY gains per quitter from the &lt;Inputs</w:t>
      </w:r>
      <w:r w:rsidR="00202F0F">
        <w:rPr>
          <w:rFonts w:ascii="Times New Roman" w:hAnsi="Times New Roman" w:cs="Times New Roman"/>
          <w:sz w:val="24"/>
          <w:szCs w:val="24"/>
        </w:rPr>
        <w:t xml:space="preserve"> 2</w:t>
      </w:r>
      <w:r w:rsidRPr="005D3BD6">
        <w:rPr>
          <w:rFonts w:ascii="Times New Roman" w:hAnsi="Times New Roman" w:cs="Times New Roman"/>
          <w:sz w:val="24"/>
          <w:szCs w:val="24"/>
        </w:rPr>
        <w:t xml:space="preserve">&gt; sheet, calculate the lifetime HALY gain from successful long-term quitters, noting that this differs according to socioeconomic status. </w:t>
      </w:r>
    </w:p>
    <w:p w14:paraId="38EFF279" w14:textId="401B5F2C" w:rsidR="00D00B8A" w:rsidRPr="00D00B8A" w:rsidRDefault="00FE1C15" w:rsidP="00D00B8A">
      <w:pPr>
        <w:pStyle w:val="ListParagraph"/>
        <w:numPr>
          <w:ilvl w:val="0"/>
          <w:numId w:val="9"/>
        </w:numPr>
        <w:spacing w:after="160" w:line="480" w:lineRule="auto"/>
        <w:rPr>
          <w:rFonts w:ascii="Times New Roman" w:hAnsi="Times New Roman" w:cs="Times New Roman"/>
          <w:b/>
          <w:sz w:val="24"/>
          <w:szCs w:val="24"/>
        </w:rPr>
      </w:pPr>
      <w:r>
        <w:rPr>
          <w:rFonts w:ascii="Times New Roman" w:hAnsi="Times New Roman" w:cs="Times New Roman"/>
          <w:b/>
          <w:sz w:val="24"/>
          <w:szCs w:val="24"/>
        </w:rPr>
        <w:t>Standard CEA</w:t>
      </w:r>
    </w:p>
    <w:p w14:paraId="6835E6B1" w14:textId="4C257F40" w:rsidR="00D00B8A" w:rsidRPr="005D3BD6" w:rsidRDefault="00FE1C15" w:rsidP="00D00B8A">
      <w:pPr>
        <w:spacing w:line="480" w:lineRule="auto"/>
        <w:rPr>
          <w:rFonts w:ascii="Times New Roman" w:hAnsi="Times New Roman" w:cs="Times New Roman"/>
          <w:sz w:val="24"/>
          <w:szCs w:val="24"/>
        </w:rPr>
      </w:pPr>
      <w:r>
        <w:rPr>
          <w:rFonts w:ascii="Times New Roman" w:hAnsi="Times New Roman" w:cs="Times New Roman"/>
          <w:sz w:val="24"/>
          <w:szCs w:val="24"/>
        </w:rPr>
        <w:t xml:space="preserve">We </w:t>
      </w:r>
      <w:r w:rsidR="00D00B8A" w:rsidRPr="005D3BD6">
        <w:rPr>
          <w:rFonts w:ascii="Times New Roman" w:hAnsi="Times New Roman" w:cs="Times New Roman"/>
          <w:sz w:val="24"/>
          <w:szCs w:val="24"/>
        </w:rPr>
        <w:t xml:space="preserve">will </w:t>
      </w:r>
      <w:r>
        <w:rPr>
          <w:rFonts w:ascii="Times New Roman" w:hAnsi="Times New Roman" w:cs="Times New Roman"/>
          <w:sz w:val="24"/>
          <w:szCs w:val="24"/>
        </w:rPr>
        <w:t xml:space="preserve">now </w:t>
      </w:r>
      <w:r w:rsidR="00D00B8A" w:rsidRPr="005D3BD6">
        <w:rPr>
          <w:rFonts w:ascii="Times New Roman" w:hAnsi="Times New Roman" w:cs="Times New Roman"/>
          <w:sz w:val="24"/>
          <w:szCs w:val="24"/>
        </w:rPr>
        <w:t xml:space="preserve">bring together the aggregate, population-level results as we would in a </w:t>
      </w:r>
      <w:r w:rsidR="00202F0F">
        <w:rPr>
          <w:rFonts w:ascii="Times New Roman" w:hAnsi="Times New Roman" w:cs="Times New Roman"/>
          <w:sz w:val="24"/>
          <w:szCs w:val="24"/>
        </w:rPr>
        <w:t>standard</w:t>
      </w:r>
      <w:r w:rsidR="00D00B8A" w:rsidRPr="005D3BD6">
        <w:rPr>
          <w:rFonts w:ascii="Times New Roman" w:hAnsi="Times New Roman" w:cs="Times New Roman"/>
          <w:sz w:val="24"/>
          <w:szCs w:val="24"/>
        </w:rPr>
        <w:t xml:space="preserve"> cost-effectiveness analysis. </w:t>
      </w:r>
      <w:r>
        <w:rPr>
          <w:rFonts w:ascii="Times New Roman" w:hAnsi="Times New Roman" w:cs="Times New Roman"/>
          <w:sz w:val="24"/>
          <w:szCs w:val="24"/>
        </w:rPr>
        <w:t>I</w:t>
      </w:r>
      <w:r w:rsidR="00D00B8A" w:rsidRPr="005D3BD6">
        <w:rPr>
          <w:rFonts w:ascii="Times New Roman" w:hAnsi="Times New Roman" w:cs="Times New Roman"/>
          <w:sz w:val="24"/>
          <w:szCs w:val="24"/>
        </w:rPr>
        <w:t>n the &lt;</w:t>
      </w:r>
      <w:r w:rsidR="00114115">
        <w:rPr>
          <w:rFonts w:ascii="Times New Roman" w:hAnsi="Times New Roman" w:cs="Times New Roman"/>
          <w:sz w:val="24"/>
          <w:szCs w:val="24"/>
        </w:rPr>
        <w:t>CEA</w:t>
      </w:r>
      <w:r w:rsidR="00D00B8A" w:rsidRPr="005D3BD6">
        <w:rPr>
          <w:rFonts w:ascii="Times New Roman" w:hAnsi="Times New Roman" w:cs="Times New Roman"/>
          <w:sz w:val="24"/>
          <w:szCs w:val="24"/>
        </w:rPr>
        <w:t>&gt; sheet, the summary table has been populated with the net cost and total HALY gain across the whole population in cells B</w:t>
      </w:r>
      <w:r w:rsidR="00114115">
        <w:rPr>
          <w:rFonts w:ascii="Times New Roman" w:hAnsi="Times New Roman" w:cs="Times New Roman"/>
          <w:sz w:val="24"/>
          <w:szCs w:val="24"/>
        </w:rPr>
        <w:t>5</w:t>
      </w:r>
      <w:r w:rsidR="00D00B8A" w:rsidRPr="005D3BD6">
        <w:rPr>
          <w:rFonts w:ascii="Times New Roman" w:hAnsi="Times New Roman" w:cs="Times New Roman"/>
          <w:sz w:val="24"/>
          <w:szCs w:val="24"/>
        </w:rPr>
        <w:t>:C</w:t>
      </w:r>
      <w:r w:rsidR="00114115">
        <w:rPr>
          <w:rFonts w:ascii="Times New Roman" w:hAnsi="Times New Roman" w:cs="Times New Roman"/>
          <w:sz w:val="24"/>
          <w:szCs w:val="24"/>
        </w:rPr>
        <w:t>7</w:t>
      </w:r>
      <w:r w:rsidR="00D00B8A" w:rsidRPr="005D3BD6">
        <w:rPr>
          <w:rFonts w:ascii="Times New Roman" w:hAnsi="Times New Roman" w:cs="Times New Roman"/>
          <w:sz w:val="24"/>
          <w:szCs w:val="24"/>
        </w:rPr>
        <w:t xml:space="preserve">. From these, calculate the incremental costs and HALYs versus </w:t>
      </w:r>
      <w:proofErr w:type="spellStart"/>
      <w:r w:rsidR="00114115">
        <w:rPr>
          <w:rFonts w:ascii="Times New Roman" w:hAnsi="Times New Roman" w:cs="Times New Roman"/>
          <w:sz w:val="24"/>
          <w:szCs w:val="24"/>
        </w:rPr>
        <w:t>programme</w:t>
      </w:r>
      <w:proofErr w:type="spellEnd"/>
      <w:r w:rsidR="00114115">
        <w:rPr>
          <w:rFonts w:ascii="Times New Roman" w:hAnsi="Times New Roman" w:cs="Times New Roman"/>
          <w:sz w:val="24"/>
          <w:szCs w:val="24"/>
        </w:rPr>
        <w:t xml:space="preserve"> </w:t>
      </w:r>
      <w:r w:rsidR="00D00B8A" w:rsidRPr="005D3BD6">
        <w:rPr>
          <w:rFonts w:ascii="Times New Roman" w:hAnsi="Times New Roman" w:cs="Times New Roman"/>
          <w:sz w:val="24"/>
          <w:szCs w:val="24"/>
        </w:rPr>
        <w:t xml:space="preserve">1 and </w:t>
      </w:r>
      <w:r w:rsidR="00114115">
        <w:rPr>
          <w:rFonts w:ascii="Times New Roman" w:hAnsi="Times New Roman" w:cs="Times New Roman"/>
          <w:sz w:val="24"/>
          <w:szCs w:val="24"/>
        </w:rPr>
        <w:t xml:space="preserve">versus </w:t>
      </w:r>
      <w:r w:rsidR="00D00B8A" w:rsidRPr="005D3BD6">
        <w:rPr>
          <w:rFonts w:ascii="Times New Roman" w:hAnsi="Times New Roman" w:cs="Times New Roman"/>
          <w:sz w:val="24"/>
          <w:szCs w:val="24"/>
        </w:rPr>
        <w:t xml:space="preserve">the next best alternative for </w:t>
      </w:r>
      <w:proofErr w:type="spellStart"/>
      <w:r w:rsidR="00114115">
        <w:rPr>
          <w:rFonts w:ascii="Times New Roman" w:hAnsi="Times New Roman" w:cs="Times New Roman"/>
          <w:sz w:val="24"/>
          <w:szCs w:val="24"/>
        </w:rPr>
        <w:t>programmes</w:t>
      </w:r>
      <w:proofErr w:type="spellEnd"/>
      <w:r w:rsidR="00D00B8A" w:rsidRPr="005D3BD6">
        <w:rPr>
          <w:rFonts w:ascii="Times New Roman" w:hAnsi="Times New Roman" w:cs="Times New Roman"/>
          <w:sz w:val="24"/>
          <w:szCs w:val="24"/>
        </w:rPr>
        <w:t xml:space="preserve"> 2 and 3</w:t>
      </w:r>
      <w:r>
        <w:rPr>
          <w:rFonts w:ascii="Times New Roman" w:hAnsi="Times New Roman" w:cs="Times New Roman"/>
          <w:sz w:val="24"/>
          <w:szCs w:val="24"/>
        </w:rPr>
        <w:t xml:space="preserve">.  Then calculate the corresponding ICERs i.e. for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2 versus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1 and for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3 against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2.</w:t>
      </w:r>
    </w:p>
    <w:p w14:paraId="3AA5AE03" w14:textId="77777777" w:rsidR="00D00B8A" w:rsidRDefault="00D00B8A" w:rsidP="00D00B8A">
      <w:pPr>
        <w:spacing w:line="480" w:lineRule="auto"/>
        <w:rPr>
          <w:rFonts w:ascii="Times New Roman" w:hAnsi="Times New Roman" w:cs="Times New Roman"/>
          <w:sz w:val="24"/>
          <w:szCs w:val="24"/>
        </w:rPr>
      </w:pPr>
    </w:p>
    <w:p w14:paraId="0A7F078A" w14:textId="77777777" w:rsidR="00FE1C15" w:rsidRDefault="00FE1C15" w:rsidP="00FE1C15">
      <w:pPr>
        <w:spacing w:line="480" w:lineRule="auto"/>
        <w:rPr>
          <w:rFonts w:ascii="Times New Roman" w:hAnsi="Times New Roman" w:cs="Times New Roman"/>
          <w:sz w:val="24"/>
          <w:szCs w:val="24"/>
        </w:rPr>
      </w:pPr>
      <w:r w:rsidRPr="005D3BD6">
        <w:rPr>
          <w:rFonts w:ascii="Times New Roman" w:hAnsi="Times New Roman" w:cs="Times New Roman"/>
          <w:sz w:val="24"/>
          <w:szCs w:val="24"/>
        </w:rPr>
        <w:lastRenderedPageBreak/>
        <w:t xml:space="preserve">All being well, </w:t>
      </w:r>
      <w:r>
        <w:rPr>
          <w:rFonts w:ascii="Times New Roman" w:hAnsi="Times New Roman" w:cs="Times New Roman"/>
          <w:sz w:val="24"/>
          <w:szCs w:val="24"/>
        </w:rPr>
        <w:t xml:space="preserve">the cost-effectiveness plane </w:t>
      </w:r>
      <w:r w:rsidRPr="005D3BD6">
        <w:rPr>
          <w:rFonts w:ascii="Times New Roman" w:hAnsi="Times New Roman" w:cs="Times New Roman"/>
          <w:sz w:val="24"/>
          <w:szCs w:val="24"/>
        </w:rPr>
        <w:t xml:space="preserve">should </w:t>
      </w:r>
      <w:r>
        <w:rPr>
          <w:rFonts w:ascii="Times New Roman" w:hAnsi="Times New Roman" w:cs="Times New Roman"/>
          <w:sz w:val="24"/>
          <w:szCs w:val="24"/>
        </w:rPr>
        <w:t xml:space="preserve">now </w:t>
      </w:r>
      <w:r w:rsidRPr="005D3BD6">
        <w:rPr>
          <w:rFonts w:ascii="Times New Roman" w:hAnsi="Times New Roman" w:cs="Times New Roman"/>
          <w:sz w:val="24"/>
          <w:szCs w:val="24"/>
        </w:rPr>
        <w:t xml:space="preserve">have been </w:t>
      </w:r>
      <w:r>
        <w:rPr>
          <w:rFonts w:ascii="Times New Roman" w:hAnsi="Times New Roman" w:cs="Times New Roman"/>
          <w:sz w:val="24"/>
          <w:szCs w:val="24"/>
        </w:rPr>
        <w:t>populated</w:t>
      </w:r>
      <w:r w:rsidRPr="005D3BD6">
        <w:rPr>
          <w:rFonts w:ascii="Times New Roman" w:hAnsi="Times New Roman" w:cs="Times New Roman"/>
          <w:sz w:val="24"/>
          <w:szCs w:val="24"/>
        </w:rPr>
        <w:t>. If this is not the case, then us</w:t>
      </w:r>
      <w:r>
        <w:rPr>
          <w:rFonts w:ascii="Times New Roman" w:hAnsi="Times New Roman" w:cs="Times New Roman"/>
          <w:sz w:val="24"/>
          <w:szCs w:val="24"/>
        </w:rPr>
        <w:t>e</w:t>
      </w:r>
      <w:r w:rsidRPr="005D3BD6">
        <w:rPr>
          <w:rFonts w:ascii="Times New Roman" w:hAnsi="Times New Roman" w:cs="Times New Roman"/>
          <w:sz w:val="24"/>
          <w:szCs w:val="24"/>
        </w:rPr>
        <w:t xml:space="preserve"> the template chart</w:t>
      </w:r>
      <w:r>
        <w:rPr>
          <w:rFonts w:ascii="Times New Roman" w:hAnsi="Times New Roman" w:cs="Times New Roman"/>
          <w:sz w:val="24"/>
          <w:szCs w:val="24"/>
        </w:rPr>
        <w:t xml:space="preserve"> and select the relevant sources of data yourself to </w:t>
      </w:r>
      <w:r w:rsidRPr="005D3BD6">
        <w:rPr>
          <w:rFonts w:ascii="Times New Roman" w:hAnsi="Times New Roman" w:cs="Times New Roman"/>
          <w:sz w:val="24"/>
          <w:szCs w:val="24"/>
        </w:rPr>
        <w:t>compar</w:t>
      </w:r>
      <w:r>
        <w:rPr>
          <w:rFonts w:ascii="Times New Roman" w:hAnsi="Times New Roman" w:cs="Times New Roman"/>
          <w:sz w:val="24"/>
          <w:szCs w:val="24"/>
        </w:rPr>
        <w:t>e</w:t>
      </w:r>
      <w:r w:rsidRPr="005D3BD6">
        <w:rPr>
          <w:rFonts w:ascii="Times New Roman" w:hAnsi="Times New Roman" w:cs="Times New Roman"/>
          <w:sz w:val="24"/>
          <w:szCs w:val="24"/>
        </w:rPr>
        <w:t xml:space="preserve"> </w:t>
      </w:r>
      <w:proofErr w:type="spellStart"/>
      <w:r>
        <w:rPr>
          <w:rFonts w:ascii="Times New Roman" w:hAnsi="Times New Roman" w:cs="Times New Roman"/>
          <w:sz w:val="24"/>
          <w:szCs w:val="24"/>
        </w:rPr>
        <w:t>programmes</w:t>
      </w:r>
      <w:proofErr w:type="spellEnd"/>
      <w:r w:rsidRPr="005D3BD6">
        <w:rPr>
          <w:rFonts w:ascii="Times New Roman" w:hAnsi="Times New Roman" w:cs="Times New Roman"/>
          <w:sz w:val="24"/>
          <w:szCs w:val="24"/>
        </w:rPr>
        <w:t xml:space="preserve"> 2 and 3 with </w:t>
      </w:r>
      <w:proofErr w:type="spellStart"/>
      <w:r>
        <w:rPr>
          <w:rFonts w:ascii="Times New Roman" w:hAnsi="Times New Roman" w:cs="Times New Roman"/>
          <w:sz w:val="24"/>
          <w:szCs w:val="24"/>
        </w:rPr>
        <w:t>programme</w:t>
      </w:r>
      <w:proofErr w:type="spellEnd"/>
      <w:r w:rsidRPr="005D3BD6">
        <w:rPr>
          <w:rFonts w:ascii="Times New Roman" w:hAnsi="Times New Roman" w:cs="Times New Roman"/>
          <w:sz w:val="24"/>
          <w:szCs w:val="24"/>
        </w:rPr>
        <w:t xml:space="preserve"> 1</w:t>
      </w:r>
      <w:r>
        <w:rPr>
          <w:rFonts w:ascii="Times New Roman" w:hAnsi="Times New Roman" w:cs="Times New Roman"/>
          <w:sz w:val="24"/>
          <w:szCs w:val="24"/>
        </w:rPr>
        <w:t xml:space="preserve"> on the cost-effectiveness plane</w:t>
      </w:r>
      <w:r w:rsidRPr="005D3BD6">
        <w:rPr>
          <w:rFonts w:ascii="Times New Roman" w:hAnsi="Times New Roman" w:cs="Times New Roman"/>
          <w:sz w:val="24"/>
          <w:szCs w:val="24"/>
        </w:rPr>
        <w:t>.</w:t>
      </w:r>
    </w:p>
    <w:p w14:paraId="5EAAD3CA" w14:textId="0C25356B" w:rsidR="00FE1C15" w:rsidRDefault="00FE1C15" w:rsidP="00FE1C15">
      <w:pPr>
        <w:spacing w:line="480" w:lineRule="auto"/>
        <w:rPr>
          <w:rFonts w:ascii="Times New Roman" w:hAnsi="Times New Roman" w:cs="Times New Roman"/>
          <w:sz w:val="24"/>
          <w:szCs w:val="24"/>
        </w:rPr>
      </w:pPr>
      <w:r w:rsidRPr="005D3BD6">
        <w:rPr>
          <w:rFonts w:ascii="Times New Roman" w:hAnsi="Times New Roman" w:cs="Times New Roman"/>
          <w:sz w:val="24"/>
          <w:szCs w:val="24"/>
        </w:rPr>
        <w:t xml:space="preserve"> </w:t>
      </w:r>
    </w:p>
    <w:p w14:paraId="0D4E8CBD" w14:textId="7181E855" w:rsidR="00D00B8A" w:rsidRPr="00D00B8A" w:rsidRDefault="00FE1C15" w:rsidP="00D00B8A">
      <w:pPr>
        <w:pStyle w:val="ListParagraph"/>
        <w:numPr>
          <w:ilvl w:val="0"/>
          <w:numId w:val="9"/>
        </w:numPr>
        <w:spacing w:after="160" w:line="480" w:lineRule="auto"/>
        <w:rPr>
          <w:rFonts w:ascii="Times New Roman" w:hAnsi="Times New Roman" w:cs="Times New Roman"/>
          <w:b/>
          <w:sz w:val="24"/>
          <w:szCs w:val="24"/>
        </w:rPr>
      </w:pPr>
      <w:r>
        <w:rPr>
          <w:rFonts w:ascii="Times New Roman" w:hAnsi="Times New Roman" w:cs="Times New Roman"/>
          <w:b/>
          <w:sz w:val="24"/>
          <w:szCs w:val="24"/>
        </w:rPr>
        <w:t>Distributional analysis</w:t>
      </w:r>
    </w:p>
    <w:p w14:paraId="27FBA825" w14:textId="2896ED0D" w:rsidR="00FE1C15" w:rsidRPr="00FE1C15" w:rsidRDefault="00FE1C15" w:rsidP="00FE1C15">
      <w:pPr>
        <w:spacing w:line="480" w:lineRule="auto"/>
        <w:rPr>
          <w:rFonts w:ascii="Times New Roman" w:hAnsi="Times New Roman" w:cs="Times New Roman"/>
          <w:sz w:val="24"/>
          <w:szCs w:val="24"/>
        </w:rPr>
      </w:pPr>
      <w:r>
        <w:rPr>
          <w:rFonts w:ascii="Times New Roman" w:hAnsi="Times New Roman" w:cs="Times New Roman"/>
          <w:sz w:val="24"/>
          <w:szCs w:val="24"/>
        </w:rPr>
        <w:t>Now turn to &lt;</w:t>
      </w:r>
      <w:proofErr w:type="spellStart"/>
      <w:r>
        <w:rPr>
          <w:rFonts w:ascii="Times New Roman" w:hAnsi="Times New Roman" w:cs="Times New Roman"/>
          <w:sz w:val="24"/>
          <w:szCs w:val="24"/>
        </w:rPr>
        <w:t>Dist</w:t>
      </w:r>
      <w:proofErr w:type="spellEnd"/>
      <w:r>
        <w:rPr>
          <w:rFonts w:ascii="Times New Roman" w:hAnsi="Times New Roman" w:cs="Times New Roman"/>
          <w:sz w:val="24"/>
          <w:szCs w:val="24"/>
        </w:rPr>
        <w:t xml:space="preserve"> Tab&gt; sheet and</w:t>
      </w:r>
      <w:r w:rsidRPr="00FE1C15">
        <w:rPr>
          <w:rFonts w:ascii="Times New Roman" w:hAnsi="Times New Roman" w:cs="Times New Roman"/>
          <w:sz w:val="24"/>
          <w:szCs w:val="24"/>
        </w:rPr>
        <w:t xml:space="preserve"> populate cells C</w:t>
      </w:r>
      <w:r>
        <w:rPr>
          <w:rFonts w:ascii="Times New Roman" w:hAnsi="Times New Roman" w:cs="Times New Roman"/>
          <w:sz w:val="24"/>
          <w:szCs w:val="24"/>
        </w:rPr>
        <w:t>5</w:t>
      </w:r>
      <w:r w:rsidRPr="00FE1C15">
        <w:rPr>
          <w:rFonts w:ascii="Times New Roman" w:hAnsi="Times New Roman" w:cs="Times New Roman"/>
          <w:sz w:val="24"/>
          <w:szCs w:val="24"/>
        </w:rPr>
        <w:t>:C</w:t>
      </w:r>
      <w:r>
        <w:rPr>
          <w:rFonts w:ascii="Times New Roman" w:hAnsi="Times New Roman" w:cs="Times New Roman"/>
          <w:sz w:val="24"/>
          <w:szCs w:val="24"/>
        </w:rPr>
        <w:t>14</w:t>
      </w:r>
      <w:r w:rsidRPr="00FE1C15">
        <w:rPr>
          <w:rFonts w:ascii="Times New Roman" w:hAnsi="Times New Roman" w:cs="Times New Roman"/>
          <w:sz w:val="24"/>
          <w:szCs w:val="24"/>
        </w:rPr>
        <w:t xml:space="preserve"> using the values from the &lt;Inputs</w:t>
      </w:r>
      <w:r>
        <w:rPr>
          <w:rFonts w:ascii="Times New Roman" w:hAnsi="Times New Roman" w:cs="Times New Roman"/>
          <w:sz w:val="24"/>
          <w:szCs w:val="24"/>
        </w:rPr>
        <w:t xml:space="preserve"> 2</w:t>
      </w:r>
      <w:r w:rsidRPr="00FE1C15">
        <w:rPr>
          <w:rFonts w:ascii="Times New Roman" w:hAnsi="Times New Roman" w:cs="Times New Roman"/>
          <w:sz w:val="24"/>
          <w:szCs w:val="24"/>
        </w:rPr>
        <w:t>&gt; sheet. Next, fill in columns D, E and F using the total HALY gains for each</w:t>
      </w:r>
      <w:r>
        <w:rPr>
          <w:rFonts w:ascii="Times New Roman" w:hAnsi="Times New Roman" w:cs="Times New Roman"/>
          <w:sz w:val="24"/>
          <w:szCs w:val="24"/>
        </w:rPr>
        <w:t xml:space="preserve"> social</w:t>
      </w:r>
      <w:r w:rsidRPr="00FE1C15">
        <w:rPr>
          <w:rFonts w:ascii="Times New Roman" w:hAnsi="Times New Roman" w:cs="Times New Roman"/>
          <w:sz w:val="24"/>
          <w:szCs w:val="24"/>
        </w:rPr>
        <w:t xml:space="preserve"> group from the relevant cells in the &lt;</w:t>
      </w:r>
      <w:r>
        <w:rPr>
          <w:rFonts w:ascii="Times New Roman" w:hAnsi="Times New Roman" w:cs="Times New Roman"/>
          <w:sz w:val="24"/>
          <w:szCs w:val="24"/>
        </w:rPr>
        <w:t>Costs and Effects</w:t>
      </w:r>
      <w:r w:rsidRPr="00FE1C15">
        <w:rPr>
          <w:rFonts w:ascii="Times New Roman" w:hAnsi="Times New Roman" w:cs="Times New Roman"/>
          <w:sz w:val="24"/>
          <w:szCs w:val="24"/>
        </w:rPr>
        <w:t>&gt; sheet. Calculate the increments required in columns G, H and I.</w:t>
      </w:r>
    </w:p>
    <w:p w14:paraId="6010EFC1" w14:textId="77777777" w:rsidR="00FE1C15" w:rsidRDefault="00FE1C15" w:rsidP="00D00B8A">
      <w:pPr>
        <w:spacing w:line="480" w:lineRule="auto"/>
        <w:rPr>
          <w:rFonts w:ascii="Times New Roman" w:hAnsi="Times New Roman" w:cs="Times New Roman"/>
          <w:sz w:val="24"/>
          <w:szCs w:val="24"/>
        </w:rPr>
      </w:pPr>
    </w:p>
    <w:p w14:paraId="1979DB18" w14:textId="2BA01814" w:rsidR="00D00B8A" w:rsidRPr="005D3BD6" w:rsidRDefault="00040EC0" w:rsidP="00D00B8A">
      <w:pPr>
        <w:spacing w:line="480" w:lineRule="auto"/>
        <w:rPr>
          <w:rFonts w:ascii="Times New Roman" w:hAnsi="Times New Roman" w:cs="Times New Roman"/>
          <w:sz w:val="24"/>
          <w:szCs w:val="24"/>
        </w:rPr>
      </w:pPr>
      <w:r>
        <w:rPr>
          <w:rFonts w:ascii="Times New Roman" w:hAnsi="Times New Roman" w:cs="Times New Roman"/>
          <w:sz w:val="24"/>
          <w:szCs w:val="24"/>
        </w:rPr>
        <w:t>The table below will then automatically re-order your r</w:t>
      </w:r>
      <w:r w:rsidR="00D00B8A" w:rsidRPr="005D3BD6">
        <w:rPr>
          <w:rFonts w:ascii="Times New Roman" w:hAnsi="Times New Roman" w:cs="Times New Roman"/>
          <w:sz w:val="24"/>
          <w:szCs w:val="24"/>
        </w:rPr>
        <w:t xml:space="preserve">esults by </w:t>
      </w:r>
      <w:r>
        <w:rPr>
          <w:rFonts w:ascii="Times New Roman" w:hAnsi="Times New Roman" w:cs="Times New Roman"/>
          <w:sz w:val="24"/>
          <w:szCs w:val="24"/>
        </w:rPr>
        <w:t xml:space="preserve">social group ranked by </w:t>
      </w:r>
      <w:r w:rsidR="00D00B8A" w:rsidRPr="005D3BD6">
        <w:rPr>
          <w:rFonts w:ascii="Times New Roman" w:hAnsi="Times New Roman" w:cs="Times New Roman"/>
          <w:sz w:val="24"/>
          <w:szCs w:val="24"/>
        </w:rPr>
        <w:t>Health-Adjusted Life Expectancy</w:t>
      </w:r>
      <w:r>
        <w:rPr>
          <w:rFonts w:ascii="Times New Roman" w:hAnsi="Times New Roman" w:cs="Times New Roman"/>
          <w:sz w:val="24"/>
          <w:szCs w:val="24"/>
        </w:rPr>
        <w:t>.  This data will then populate the bar chart in &lt;</w:t>
      </w:r>
      <w:proofErr w:type="spellStart"/>
      <w:r>
        <w:rPr>
          <w:rFonts w:ascii="Times New Roman" w:hAnsi="Times New Roman" w:cs="Times New Roman"/>
          <w:sz w:val="24"/>
          <w:szCs w:val="24"/>
        </w:rPr>
        <w:t>Dist</w:t>
      </w:r>
      <w:proofErr w:type="spellEnd"/>
      <w:r>
        <w:rPr>
          <w:rFonts w:ascii="Times New Roman" w:hAnsi="Times New Roman" w:cs="Times New Roman"/>
          <w:sz w:val="24"/>
          <w:szCs w:val="24"/>
        </w:rPr>
        <w:t xml:space="preserve"> Fig&gt; </w:t>
      </w:r>
      <w:r w:rsidR="00D00B8A" w:rsidRPr="005D3BD6">
        <w:rPr>
          <w:rFonts w:ascii="Times New Roman" w:hAnsi="Times New Roman" w:cs="Times New Roman"/>
          <w:sz w:val="24"/>
          <w:szCs w:val="24"/>
        </w:rPr>
        <w:t xml:space="preserve">showing the incremental HALY gains in each group under </w:t>
      </w:r>
      <w:proofErr w:type="spellStart"/>
      <w:r>
        <w:rPr>
          <w:rFonts w:ascii="Times New Roman" w:hAnsi="Times New Roman" w:cs="Times New Roman"/>
          <w:sz w:val="24"/>
          <w:szCs w:val="24"/>
        </w:rPr>
        <w:t>programmes</w:t>
      </w:r>
      <w:proofErr w:type="spellEnd"/>
      <w:r w:rsidR="00D00B8A" w:rsidRPr="005D3BD6">
        <w:rPr>
          <w:rFonts w:ascii="Times New Roman" w:hAnsi="Times New Roman" w:cs="Times New Roman"/>
          <w:sz w:val="24"/>
          <w:szCs w:val="24"/>
        </w:rPr>
        <w:t xml:space="preserve"> 2 and 3 compared to scenario 1.</w:t>
      </w:r>
    </w:p>
    <w:p w14:paraId="72D6F68A" w14:textId="77777777" w:rsidR="00D00B8A" w:rsidRPr="00D00B8A" w:rsidRDefault="00D00B8A" w:rsidP="00D00B8A">
      <w:pPr>
        <w:pStyle w:val="ListParagraph"/>
        <w:numPr>
          <w:ilvl w:val="0"/>
          <w:numId w:val="9"/>
        </w:numPr>
        <w:spacing w:after="160" w:line="480" w:lineRule="auto"/>
        <w:rPr>
          <w:rFonts w:ascii="Times New Roman" w:hAnsi="Times New Roman" w:cs="Times New Roman"/>
          <w:b/>
          <w:sz w:val="24"/>
          <w:szCs w:val="24"/>
        </w:rPr>
      </w:pPr>
      <w:r w:rsidRPr="00D00B8A">
        <w:rPr>
          <w:rFonts w:ascii="Times New Roman" w:hAnsi="Times New Roman" w:cs="Times New Roman"/>
          <w:b/>
          <w:sz w:val="24"/>
          <w:szCs w:val="24"/>
        </w:rPr>
        <w:t>Questions</w:t>
      </w:r>
    </w:p>
    <w:p w14:paraId="3BBD0FA2" w14:textId="23804387" w:rsidR="00D00B8A" w:rsidRPr="005D3BD6" w:rsidRDefault="00D00B8A" w:rsidP="00D00B8A">
      <w:pPr>
        <w:spacing w:line="480" w:lineRule="auto"/>
        <w:rPr>
          <w:rFonts w:ascii="Times New Roman" w:hAnsi="Times New Roman" w:cs="Times New Roman"/>
          <w:sz w:val="24"/>
          <w:szCs w:val="24"/>
        </w:rPr>
      </w:pPr>
      <w:r w:rsidRPr="005D3BD6">
        <w:rPr>
          <w:rFonts w:ascii="Times New Roman" w:hAnsi="Times New Roman" w:cs="Times New Roman"/>
          <w:sz w:val="24"/>
          <w:szCs w:val="24"/>
        </w:rPr>
        <w:t xml:space="preserve">Which </w:t>
      </w:r>
      <w:proofErr w:type="spellStart"/>
      <w:r w:rsidR="00040EC0">
        <w:rPr>
          <w:rFonts w:ascii="Times New Roman" w:hAnsi="Times New Roman" w:cs="Times New Roman"/>
          <w:sz w:val="24"/>
          <w:szCs w:val="24"/>
        </w:rPr>
        <w:t>programme</w:t>
      </w:r>
      <w:proofErr w:type="spellEnd"/>
      <w:r w:rsidR="00040EC0">
        <w:rPr>
          <w:rFonts w:ascii="Times New Roman" w:hAnsi="Times New Roman" w:cs="Times New Roman"/>
          <w:sz w:val="24"/>
          <w:szCs w:val="24"/>
        </w:rPr>
        <w:t xml:space="preserve"> </w:t>
      </w:r>
      <w:r w:rsidRPr="005D3BD6">
        <w:rPr>
          <w:rFonts w:ascii="Times New Roman" w:hAnsi="Times New Roman" w:cs="Times New Roman"/>
          <w:sz w:val="24"/>
          <w:szCs w:val="24"/>
        </w:rPr>
        <w:t>is the most cost-effective, assuming a cost-effectiveness threshold of £13,000?</w:t>
      </w:r>
    </w:p>
    <w:p w14:paraId="5F0D8B4C" w14:textId="13D99771" w:rsidR="00D00B8A" w:rsidRPr="005D3BD6" w:rsidRDefault="00D00B8A" w:rsidP="00D00B8A">
      <w:pPr>
        <w:spacing w:line="480" w:lineRule="auto"/>
        <w:rPr>
          <w:rFonts w:ascii="Times New Roman" w:hAnsi="Times New Roman" w:cs="Times New Roman"/>
          <w:sz w:val="24"/>
          <w:szCs w:val="24"/>
        </w:rPr>
      </w:pPr>
      <w:r w:rsidRPr="005D3BD6">
        <w:rPr>
          <w:rFonts w:ascii="Times New Roman" w:hAnsi="Times New Roman" w:cs="Times New Roman"/>
          <w:sz w:val="24"/>
          <w:szCs w:val="24"/>
        </w:rPr>
        <w:t xml:space="preserve">Which </w:t>
      </w:r>
      <w:proofErr w:type="spellStart"/>
      <w:r w:rsidR="00040EC0">
        <w:rPr>
          <w:rFonts w:ascii="Times New Roman" w:hAnsi="Times New Roman" w:cs="Times New Roman"/>
          <w:sz w:val="24"/>
          <w:szCs w:val="24"/>
        </w:rPr>
        <w:t>programme</w:t>
      </w:r>
      <w:proofErr w:type="spellEnd"/>
      <w:r w:rsidR="00040EC0">
        <w:rPr>
          <w:rFonts w:ascii="Times New Roman" w:hAnsi="Times New Roman" w:cs="Times New Roman"/>
          <w:sz w:val="24"/>
          <w:szCs w:val="24"/>
        </w:rPr>
        <w:t xml:space="preserve"> </w:t>
      </w:r>
      <w:r w:rsidRPr="005D3BD6">
        <w:rPr>
          <w:rFonts w:ascii="Times New Roman" w:hAnsi="Times New Roman" w:cs="Times New Roman"/>
          <w:sz w:val="24"/>
          <w:szCs w:val="24"/>
        </w:rPr>
        <w:t xml:space="preserve">has the greatest health </w:t>
      </w:r>
      <w:r w:rsidR="00040EC0">
        <w:rPr>
          <w:rFonts w:ascii="Times New Roman" w:hAnsi="Times New Roman" w:cs="Times New Roman"/>
          <w:sz w:val="24"/>
          <w:szCs w:val="24"/>
        </w:rPr>
        <w:t xml:space="preserve">benefit for </w:t>
      </w:r>
      <w:r w:rsidRPr="005D3BD6">
        <w:rPr>
          <w:rFonts w:ascii="Times New Roman" w:hAnsi="Times New Roman" w:cs="Times New Roman"/>
          <w:sz w:val="24"/>
          <w:szCs w:val="24"/>
        </w:rPr>
        <w:t>the most deprived group?</w:t>
      </w:r>
    </w:p>
    <w:p w14:paraId="25A5CD76" w14:textId="77777777" w:rsidR="00D00B8A" w:rsidRPr="005D3BD6" w:rsidRDefault="00D00B8A" w:rsidP="00D00B8A">
      <w:pPr>
        <w:spacing w:line="480" w:lineRule="auto"/>
        <w:rPr>
          <w:rFonts w:ascii="Times New Roman" w:hAnsi="Times New Roman" w:cs="Times New Roman"/>
          <w:sz w:val="24"/>
          <w:szCs w:val="24"/>
        </w:rPr>
      </w:pPr>
    </w:p>
    <w:p w14:paraId="45E3E85E" w14:textId="2851D28C" w:rsidR="00D00B8A" w:rsidRPr="00040A31" w:rsidRDefault="00D00B8A" w:rsidP="00040A31">
      <w:pPr>
        <w:spacing w:line="480" w:lineRule="auto"/>
        <w:rPr>
          <w:rFonts w:ascii="Times New Roman" w:hAnsi="Times New Roman" w:cs="Times New Roman"/>
          <w:sz w:val="24"/>
          <w:szCs w:val="24"/>
        </w:rPr>
      </w:pPr>
      <w:r w:rsidRPr="005D3BD6">
        <w:rPr>
          <w:rFonts w:ascii="Times New Roman" w:hAnsi="Times New Roman" w:cs="Times New Roman"/>
          <w:sz w:val="24"/>
          <w:szCs w:val="24"/>
        </w:rPr>
        <w:t>You have now built your first</w:t>
      </w:r>
      <w:r w:rsidR="00040EC0">
        <w:rPr>
          <w:rFonts w:ascii="Times New Roman" w:hAnsi="Times New Roman" w:cs="Times New Roman"/>
          <w:sz w:val="24"/>
          <w:szCs w:val="24"/>
        </w:rPr>
        <w:t xml:space="preserve"> distributional </w:t>
      </w:r>
      <w:r w:rsidRPr="005D3BD6">
        <w:rPr>
          <w:rFonts w:ascii="Times New Roman" w:hAnsi="Times New Roman" w:cs="Times New Roman"/>
          <w:sz w:val="24"/>
          <w:szCs w:val="24"/>
        </w:rPr>
        <w:t xml:space="preserve">cost-effectiveness model – well done! The </w:t>
      </w:r>
      <w:r w:rsidR="005C7ACA">
        <w:rPr>
          <w:rFonts w:ascii="Times New Roman" w:hAnsi="Times New Roman" w:cs="Times New Roman"/>
          <w:sz w:val="24"/>
          <w:szCs w:val="24"/>
        </w:rPr>
        <w:t xml:space="preserve">next exercise </w:t>
      </w:r>
      <w:r w:rsidR="00040A31">
        <w:rPr>
          <w:rFonts w:ascii="Times New Roman" w:hAnsi="Times New Roman" w:cs="Times New Roman"/>
          <w:sz w:val="24"/>
          <w:szCs w:val="24"/>
        </w:rPr>
        <w:t xml:space="preserve">– Exercise 9 – </w:t>
      </w:r>
      <w:r w:rsidRPr="005D3BD6">
        <w:rPr>
          <w:rFonts w:ascii="Times New Roman" w:hAnsi="Times New Roman" w:cs="Times New Roman"/>
          <w:sz w:val="24"/>
          <w:szCs w:val="24"/>
        </w:rPr>
        <w:t>will</w:t>
      </w:r>
      <w:r w:rsidR="00667ECD">
        <w:rPr>
          <w:rFonts w:ascii="Times New Roman" w:hAnsi="Times New Roman" w:cs="Times New Roman"/>
          <w:sz w:val="24"/>
          <w:szCs w:val="24"/>
        </w:rPr>
        <w:t xml:space="preserve"> show you how to add the distribution of health opportunity costs </w:t>
      </w:r>
      <w:r w:rsidRPr="005D3BD6">
        <w:rPr>
          <w:rFonts w:ascii="Times New Roman" w:hAnsi="Times New Roman" w:cs="Times New Roman"/>
          <w:sz w:val="24"/>
          <w:szCs w:val="24"/>
        </w:rPr>
        <w:t>to the model and</w:t>
      </w:r>
      <w:r w:rsidR="00040EC0">
        <w:rPr>
          <w:rFonts w:ascii="Times New Roman" w:hAnsi="Times New Roman" w:cs="Times New Roman"/>
          <w:sz w:val="24"/>
          <w:szCs w:val="24"/>
        </w:rPr>
        <w:t xml:space="preserve"> to plot the findings in an equity-efficiency impact plane</w:t>
      </w:r>
      <w:r w:rsidRPr="005D3BD6">
        <w:rPr>
          <w:rFonts w:ascii="Times New Roman" w:hAnsi="Times New Roman" w:cs="Times New Roman"/>
          <w:sz w:val="24"/>
          <w:szCs w:val="24"/>
        </w:rPr>
        <w:t>.</w:t>
      </w:r>
    </w:p>
    <w:sectPr w:rsidR="00D00B8A" w:rsidRPr="00040A3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D8CD0" w14:textId="77777777" w:rsidR="002A67E7" w:rsidRDefault="002A67E7" w:rsidP="002031C6">
      <w:pPr>
        <w:spacing w:line="240" w:lineRule="auto"/>
      </w:pPr>
      <w:r>
        <w:separator/>
      </w:r>
    </w:p>
  </w:endnote>
  <w:endnote w:type="continuationSeparator" w:id="0">
    <w:p w14:paraId="4A0445C7" w14:textId="77777777" w:rsidR="002A67E7" w:rsidRDefault="002A67E7" w:rsidP="002031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2568839"/>
      <w:docPartObj>
        <w:docPartGallery w:val="Page Numbers (Bottom of Page)"/>
        <w:docPartUnique/>
      </w:docPartObj>
    </w:sdtPr>
    <w:sdtEndPr>
      <w:rPr>
        <w:noProof/>
      </w:rPr>
    </w:sdtEndPr>
    <w:sdtContent>
      <w:p w14:paraId="7B727A00" w14:textId="77777777" w:rsidR="002031C6" w:rsidRDefault="002031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BF5233" w14:textId="77777777" w:rsidR="002031C6" w:rsidRDefault="00203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F6D6E" w14:textId="77777777" w:rsidR="002A67E7" w:rsidRDefault="002A67E7" w:rsidP="002031C6">
      <w:pPr>
        <w:spacing w:line="240" w:lineRule="auto"/>
      </w:pPr>
      <w:r>
        <w:separator/>
      </w:r>
    </w:p>
  </w:footnote>
  <w:footnote w:type="continuationSeparator" w:id="0">
    <w:p w14:paraId="40FE9672" w14:textId="77777777" w:rsidR="002A67E7" w:rsidRDefault="002A67E7" w:rsidP="002031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974AD"/>
    <w:multiLevelType w:val="multilevel"/>
    <w:tmpl w:val="D542D0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FA7724F"/>
    <w:multiLevelType w:val="multilevel"/>
    <w:tmpl w:val="3E8264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1A443DF"/>
    <w:multiLevelType w:val="hybridMultilevel"/>
    <w:tmpl w:val="E3C69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E20AC2"/>
    <w:multiLevelType w:val="hybridMultilevel"/>
    <w:tmpl w:val="3D58B486"/>
    <w:lvl w:ilvl="0" w:tplc="BBB6C5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FE7443"/>
    <w:multiLevelType w:val="hybridMultilevel"/>
    <w:tmpl w:val="A20AD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F25380"/>
    <w:multiLevelType w:val="multilevel"/>
    <w:tmpl w:val="21647D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B185AB0"/>
    <w:multiLevelType w:val="hybridMultilevel"/>
    <w:tmpl w:val="B71C57D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59358F4"/>
    <w:multiLevelType w:val="hybridMultilevel"/>
    <w:tmpl w:val="9738C334"/>
    <w:lvl w:ilvl="0" w:tplc="5BF8AA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2872D2"/>
    <w:multiLevelType w:val="hybridMultilevel"/>
    <w:tmpl w:val="48A67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975EE4"/>
    <w:multiLevelType w:val="multilevel"/>
    <w:tmpl w:val="1674A5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819725A"/>
    <w:multiLevelType w:val="multilevel"/>
    <w:tmpl w:val="591E2A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D5D14B1"/>
    <w:multiLevelType w:val="multilevel"/>
    <w:tmpl w:val="8A0211B6"/>
    <w:lvl w:ilvl="0">
      <w:start w:val="1"/>
      <w:numFmt w:val="decimal"/>
      <w:lvlText w:val="%1."/>
      <w:lvlJc w:val="left"/>
      <w:pPr>
        <w:ind w:left="360" w:hanging="360"/>
      </w:pPr>
      <w:rPr>
        <w:rFonts w:hint="default"/>
      </w:rPr>
    </w:lvl>
    <w:lvl w:ilvl="1">
      <w:start w:val="1"/>
      <w:numFmt w:val="decimal"/>
      <w:isLgl/>
      <w:lvlText w:val="%1.%2"/>
      <w:lvlJc w:val="left"/>
      <w:pPr>
        <w:ind w:left="567"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3249" w:hanging="1800"/>
      </w:pPr>
      <w:rPr>
        <w:rFonts w:hint="default"/>
      </w:rPr>
    </w:lvl>
    <w:lvl w:ilvl="8">
      <w:start w:val="1"/>
      <w:numFmt w:val="decimal"/>
      <w:isLgl/>
      <w:lvlText w:val="%1.%2.%3.%4.%5.%6.%7.%8.%9"/>
      <w:lvlJc w:val="left"/>
      <w:pPr>
        <w:ind w:left="3456" w:hanging="1800"/>
      </w:pPr>
      <w:rPr>
        <w:rFonts w:hint="default"/>
      </w:rPr>
    </w:lvl>
  </w:abstractNum>
  <w:abstractNum w:abstractNumId="12" w15:restartNumberingAfterBreak="0">
    <w:nsid w:val="7A7D582E"/>
    <w:multiLevelType w:val="hybridMultilevel"/>
    <w:tmpl w:val="E0A24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0"/>
  </w:num>
  <w:num w:numId="3">
    <w:abstractNumId w:val="5"/>
  </w:num>
  <w:num w:numId="4">
    <w:abstractNumId w:val="1"/>
  </w:num>
  <w:num w:numId="5">
    <w:abstractNumId w:val="9"/>
  </w:num>
  <w:num w:numId="6">
    <w:abstractNumId w:val="12"/>
  </w:num>
  <w:num w:numId="7">
    <w:abstractNumId w:val="8"/>
  </w:num>
  <w:num w:numId="8">
    <w:abstractNumId w:val="2"/>
  </w:num>
  <w:num w:numId="9">
    <w:abstractNumId w:val="4"/>
  </w:num>
  <w:num w:numId="10">
    <w:abstractNumId w:val="11"/>
  </w:num>
  <w:num w:numId="11">
    <w:abstractNumId w:val="3"/>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1C6"/>
    <w:rsid w:val="00031A37"/>
    <w:rsid w:val="00040A31"/>
    <w:rsid w:val="00040EC0"/>
    <w:rsid w:val="00114115"/>
    <w:rsid w:val="00117573"/>
    <w:rsid w:val="00193F6C"/>
    <w:rsid w:val="001D1EBD"/>
    <w:rsid w:val="00202F0F"/>
    <w:rsid w:val="002031C6"/>
    <w:rsid w:val="002454BB"/>
    <w:rsid w:val="00280DB4"/>
    <w:rsid w:val="002A67E7"/>
    <w:rsid w:val="002F531F"/>
    <w:rsid w:val="002F7CE6"/>
    <w:rsid w:val="00305E07"/>
    <w:rsid w:val="00351722"/>
    <w:rsid w:val="0038544C"/>
    <w:rsid w:val="003B3258"/>
    <w:rsid w:val="003C3904"/>
    <w:rsid w:val="003D6CA6"/>
    <w:rsid w:val="0044451C"/>
    <w:rsid w:val="00445601"/>
    <w:rsid w:val="00455B2D"/>
    <w:rsid w:val="005B557E"/>
    <w:rsid w:val="005C7ACA"/>
    <w:rsid w:val="00631560"/>
    <w:rsid w:val="00667ECD"/>
    <w:rsid w:val="0067296D"/>
    <w:rsid w:val="006A7269"/>
    <w:rsid w:val="006F4EE6"/>
    <w:rsid w:val="0089060D"/>
    <w:rsid w:val="00A27331"/>
    <w:rsid w:val="00A41C1D"/>
    <w:rsid w:val="00AA77D9"/>
    <w:rsid w:val="00B008D8"/>
    <w:rsid w:val="00B712E9"/>
    <w:rsid w:val="00C21E93"/>
    <w:rsid w:val="00D00B8A"/>
    <w:rsid w:val="00D57796"/>
    <w:rsid w:val="00DF598E"/>
    <w:rsid w:val="00E153CF"/>
    <w:rsid w:val="00E22821"/>
    <w:rsid w:val="00E82955"/>
    <w:rsid w:val="00EB47F7"/>
    <w:rsid w:val="00EB54F0"/>
    <w:rsid w:val="00F34414"/>
    <w:rsid w:val="00FE1C15"/>
    <w:rsid w:val="00FE2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BB35C"/>
  <w15:chartTrackingRefBased/>
  <w15:docId w15:val="{B98553D0-FE82-4CE3-B0FB-7B655136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1C6"/>
    <w:pPr>
      <w:spacing w:after="0" w:line="276" w:lineRule="auto"/>
      <w:contextualSpacing/>
    </w:pPr>
    <w:rPr>
      <w:rFonts w:ascii="Arial" w:eastAsia="Arial" w:hAnsi="Arial" w:cs="Arial"/>
      <w:sz w:val="22"/>
      <w:szCs w:val="22"/>
      <w:lang w:val="en" w:eastAsia="en-CA"/>
    </w:rPr>
  </w:style>
  <w:style w:type="paragraph" w:styleId="Heading1">
    <w:name w:val="heading 1"/>
    <w:basedOn w:val="Normal"/>
    <w:next w:val="Normal"/>
    <w:link w:val="Heading1Char"/>
    <w:uiPriority w:val="9"/>
    <w:qFormat/>
    <w:rsid w:val="002031C6"/>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2031C6"/>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1C6"/>
    <w:rPr>
      <w:rFonts w:ascii="Arial" w:eastAsia="Arial" w:hAnsi="Arial" w:cs="Arial"/>
      <w:sz w:val="40"/>
      <w:szCs w:val="40"/>
      <w:lang w:val="en" w:eastAsia="en-CA"/>
    </w:rPr>
  </w:style>
  <w:style w:type="character" w:customStyle="1" w:styleId="Heading2Char">
    <w:name w:val="Heading 2 Char"/>
    <w:basedOn w:val="DefaultParagraphFont"/>
    <w:link w:val="Heading2"/>
    <w:uiPriority w:val="9"/>
    <w:rsid w:val="002031C6"/>
    <w:rPr>
      <w:rFonts w:ascii="Arial" w:eastAsia="Arial" w:hAnsi="Arial" w:cs="Arial"/>
      <w:sz w:val="32"/>
      <w:szCs w:val="32"/>
      <w:lang w:val="en" w:eastAsia="en-CA"/>
    </w:rPr>
  </w:style>
  <w:style w:type="character" w:styleId="CommentReference">
    <w:name w:val="annotation reference"/>
    <w:basedOn w:val="DefaultParagraphFont"/>
    <w:uiPriority w:val="99"/>
    <w:semiHidden/>
    <w:unhideWhenUsed/>
    <w:rsid w:val="002031C6"/>
    <w:rPr>
      <w:sz w:val="16"/>
      <w:szCs w:val="16"/>
    </w:rPr>
  </w:style>
  <w:style w:type="paragraph" w:styleId="CommentText">
    <w:name w:val="annotation text"/>
    <w:basedOn w:val="Normal"/>
    <w:link w:val="CommentTextChar"/>
    <w:uiPriority w:val="99"/>
    <w:unhideWhenUsed/>
    <w:rsid w:val="002031C6"/>
    <w:pPr>
      <w:spacing w:line="240" w:lineRule="auto"/>
    </w:pPr>
    <w:rPr>
      <w:sz w:val="20"/>
      <w:szCs w:val="20"/>
    </w:rPr>
  </w:style>
  <w:style w:type="character" w:customStyle="1" w:styleId="CommentTextChar">
    <w:name w:val="Comment Text Char"/>
    <w:basedOn w:val="DefaultParagraphFont"/>
    <w:link w:val="CommentText"/>
    <w:uiPriority w:val="99"/>
    <w:rsid w:val="002031C6"/>
    <w:rPr>
      <w:rFonts w:ascii="Arial" w:eastAsia="Arial" w:hAnsi="Arial" w:cs="Arial"/>
      <w:sz w:val="20"/>
      <w:szCs w:val="20"/>
      <w:lang w:val="en" w:eastAsia="en-CA"/>
    </w:rPr>
  </w:style>
  <w:style w:type="paragraph" w:styleId="BalloonText">
    <w:name w:val="Balloon Text"/>
    <w:basedOn w:val="Normal"/>
    <w:link w:val="BalloonTextChar"/>
    <w:uiPriority w:val="99"/>
    <w:semiHidden/>
    <w:unhideWhenUsed/>
    <w:rsid w:val="002031C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C6"/>
    <w:rPr>
      <w:rFonts w:ascii="Segoe UI" w:eastAsia="Arial" w:hAnsi="Segoe UI" w:cs="Segoe UI"/>
      <w:sz w:val="18"/>
      <w:szCs w:val="18"/>
      <w:lang w:val="en" w:eastAsia="en-CA"/>
    </w:rPr>
  </w:style>
  <w:style w:type="paragraph" w:styleId="Header">
    <w:name w:val="header"/>
    <w:basedOn w:val="Normal"/>
    <w:link w:val="HeaderChar"/>
    <w:uiPriority w:val="99"/>
    <w:unhideWhenUsed/>
    <w:rsid w:val="002031C6"/>
    <w:pPr>
      <w:tabs>
        <w:tab w:val="center" w:pos="4513"/>
        <w:tab w:val="right" w:pos="9026"/>
      </w:tabs>
      <w:spacing w:line="240" w:lineRule="auto"/>
    </w:pPr>
  </w:style>
  <w:style w:type="character" w:customStyle="1" w:styleId="HeaderChar">
    <w:name w:val="Header Char"/>
    <w:basedOn w:val="DefaultParagraphFont"/>
    <w:link w:val="Header"/>
    <w:uiPriority w:val="99"/>
    <w:rsid w:val="002031C6"/>
    <w:rPr>
      <w:rFonts w:ascii="Arial" w:eastAsia="Arial" w:hAnsi="Arial" w:cs="Arial"/>
      <w:sz w:val="22"/>
      <w:szCs w:val="22"/>
      <w:lang w:val="en" w:eastAsia="en-CA"/>
    </w:rPr>
  </w:style>
  <w:style w:type="paragraph" w:styleId="Footer">
    <w:name w:val="footer"/>
    <w:basedOn w:val="Normal"/>
    <w:link w:val="FooterChar"/>
    <w:uiPriority w:val="99"/>
    <w:unhideWhenUsed/>
    <w:rsid w:val="002031C6"/>
    <w:pPr>
      <w:tabs>
        <w:tab w:val="center" w:pos="4513"/>
        <w:tab w:val="right" w:pos="9026"/>
      </w:tabs>
      <w:spacing w:line="240" w:lineRule="auto"/>
    </w:pPr>
  </w:style>
  <w:style w:type="character" w:customStyle="1" w:styleId="FooterChar">
    <w:name w:val="Footer Char"/>
    <w:basedOn w:val="DefaultParagraphFont"/>
    <w:link w:val="Footer"/>
    <w:uiPriority w:val="99"/>
    <w:rsid w:val="002031C6"/>
    <w:rPr>
      <w:rFonts w:ascii="Arial" w:eastAsia="Arial" w:hAnsi="Arial" w:cs="Arial"/>
      <w:sz w:val="22"/>
      <w:szCs w:val="22"/>
      <w:lang w:val="en" w:eastAsia="en-CA"/>
    </w:rPr>
  </w:style>
  <w:style w:type="paragraph" w:styleId="ListParagraph">
    <w:name w:val="List Paragraph"/>
    <w:basedOn w:val="Normal"/>
    <w:uiPriority w:val="34"/>
    <w:qFormat/>
    <w:rsid w:val="002031C6"/>
    <w:pPr>
      <w:spacing w:after="200"/>
      <w:ind w:left="720"/>
    </w:pPr>
    <w:rPr>
      <w:rFonts w:asciiTheme="minorHAnsi" w:eastAsiaTheme="minorHAnsi" w:hAnsiTheme="minorHAnsi" w:cstheme="minorBidi"/>
      <w:lang w:val="en-GB" w:eastAsia="en-US"/>
    </w:rPr>
  </w:style>
  <w:style w:type="paragraph" w:styleId="CommentSubject">
    <w:name w:val="annotation subject"/>
    <w:basedOn w:val="CommentText"/>
    <w:next w:val="CommentText"/>
    <w:link w:val="CommentSubjectChar"/>
    <w:uiPriority w:val="99"/>
    <w:semiHidden/>
    <w:unhideWhenUsed/>
    <w:rsid w:val="00193F6C"/>
    <w:rPr>
      <w:b/>
      <w:bCs/>
    </w:rPr>
  </w:style>
  <w:style w:type="character" w:customStyle="1" w:styleId="CommentSubjectChar">
    <w:name w:val="Comment Subject Char"/>
    <w:basedOn w:val="CommentTextChar"/>
    <w:link w:val="CommentSubject"/>
    <w:uiPriority w:val="99"/>
    <w:semiHidden/>
    <w:rsid w:val="00193F6C"/>
    <w:rPr>
      <w:rFonts w:ascii="Arial" w:eastAsia="Arial" w:hAnsi="Arial" w:cs="Arial"/>
      <w:b/>
      <w:bCs/>
      <w:sz w:val="20"/>
      <w:szCs w:val="20"/>
      <w:lang w:val="en" w:eastAsia="en-CA"/>
    </w:rPr>
  </w:style>
  <w:style w:type="table" w:styleId="TableGrid">
    <w:name w:val="Table Grid"/>
    <w:basedOn w:val="TableNormal"/>
    <w:uiPriority w:val="39"/>
    <w:rsid w:val="00D00B8A"/>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1E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york.ac.uk/che/research/equity/hand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2109</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Cookson</dc:creator>
  <cp:keywords/>
  <dc:description/>
  <cp:lastModifiedBy>Richard Cookson</cp:lastModifiedBy>
  <cp:revision>2</cp:revision>
  <dcterms:created xsi:type="dcterms:W3CDTF">2020-09-14T16:06:00Z</dcterms:created>
  <dcterms:modified xsi:type="dcterms:W3CDTF">2020-09-14T16:06:00Z</dcterms:modified>
</cp:coreProperties>
</file>